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C6DA8" w14:textId="7F3040D6" w:rsidR="003A4592" w:rsidRPr="002228CE" w:rsidRDefault="00820DAC" w:rsidP="008C1533">
      <w:pPr>
        <w:pStyle w:val="Title"/>
        <w:jc w:val="center"/>
        <w:rPr>
          <w:sz w:val="48"/>
          <w:szCs w:val="48"/>
        </w:rPr>
      </w:pPr>
      <w:r w:rsidRPr="002228CE">
        <w:rPr>
          <w:sz w:val="48"/>
          <w:szCs w:val="48"/>
        </w:rPr>
        <w:t>The New York/New Jersey Combined Heat and Power Technical Assistance Partnership (</w:t>
      </w:r>
      <w:r w:rsidR="00A61F85" w:rsidRPr="002228CE">
        <w:rPr>
          <w:sz w:val="48"/>
          <w:szCs w:val="48"/>
        </w:rPr>
        <w:t>NY/NJ CHP TAP’s</w:t>
      </w:r>
      <w:r w:rsidRPr="002228CE">
        <w:rPr>
          <w:sz w:val="48"/>
          <w:szCs w:val="48"/>
        </w:rPr>
        <w:t>)</w:t>
      </w:r>
      <w:r w:rsidR="00A61F85" w:rsidRPr="002228CE">
        <w:rPr>
          <w:sz w:val="48"/>
          <w:szCs w:val="48"/>
        </w:rPr>
        <w:t xml:space="preserve"> </w:t>
      </w:r>
    </w:p>
    <w:p w14:paraId="022F939B" w14:textId="77777777" w:rsidR="002228CE" w:rsidRDefault="00B074C2" w:rsidP="008C1533">
      <w:pPr>
        <w:pStyle w:val="Title"/>
        <w:jc w:val="center"/>
        <w:rPr>
          <w:sz w:val="48"/>
          <w:szCs w:val="48"/>
        </w:rPr>
      </w:pPr>
      <w:r w:rsidRPr="002228CE">
        <w:rPr>
          <w:sz w:val="48"/>
          <w:szCs w:val="48"/>
        </w:rPr>
        <w:t>Climate Action Council</w:t>
      </w:r>
      <w:r w:rsidRPr="002228CE">
        <w:rPr>
          <w:sz w:val="48"/>
          <w:szCs w:val="48"/>
        </w:rPr>
        <w:t xml:space="preserve"> </w:t>
      </w:r>
      <w:r w:rsidR="00E04F31" w:rsidRPr="002228CE">
        <w:rPr>
          <w:sz w:val="48"/>
          <w:szCs w:val="48"/>
        </w:rPr>
        <w:t xml:space="preserve">Draft Scoping Plan </w:t>
      </w:r>
    </w:p>
    <w:p w14:paraId="16BC9169" w14:textId="4C415A3C" w:rsidR="00E04F31" w:rsidRPr="002228CE" w:rsidRDefault="002228CE" w:rsidP="008C1533">
      <w:pPr>
        <w:pStyle w:val="Title"/>
        <w:jc w:val="center"/>
        <w:rPr>
          <w:sz w:val="48"/>
          <w:szCs w:val="48"/>
        </w:rPr>
      </w:pPr>
      <w:r w:rsidRPr="002228CE">
        <w:rPr>
          <w:sz w:val="48"/>
          <w:szCs w:val="48"/>
        </w:rPr>
        <w:t xml:space="preserve">Public </w:t>
      </w:r>
      <w:r w:rsidR="00E04F31" w:rsidRPr="002228CE">
        <w:rPr>
          <w:sz w:val="48"/>
          <w:szCs w:val="48"/>
        </w:rPr>
        <w:t>Comments</w:t>
      </w:r>
    </w:p>
    <w:p w14:paraId="6E7DA46A" w14:textId="24036295" w:rsidR="00E82B17" w:rsidRDefault="00E82B17" w:rsidP="00E82B17"/>
    <w:p w14:paraId="476F2119" w14:textId="6519628D" w:rsidR="001776DE" w:rsidRPr="001417EF" w:rsidRDefault="001776DE" w:rsidP="002740D5">
      <w:pPr>
        <w:pStyle w:val="Heading2"/>
        <w:ind w:firstLine="360"/>
        <w:rPr>
          <w:sz w:val="28"/>
          <w:szCs w:val="28"/>
        </w:rPr>
      </w:pPr>
      <w:r w:rsidRPr="001417EF">
        <w:rPr>
          <w:sz w:val="28"/>
          <w:szCs w:val="28"/>
        </w:rPr>
        <w:t>Introduction</w:t>
      </w:r>
    </w:p>
    <w:p w14:paraId="1114D6F1" w14:textId="25B97702" w:rsidR="00A02F0D" w:rsidRPr="006A6AEB" w:rsidRDefault="00D55F6A" w:rsidP="002740D5">
      <w:pPr>
        <w:ind w:firstLine="360"/>
        <w:rPr>
          <w:sz w:val="24"/>
          <w:szCs w:val="24"/>
        </w:rPr>
      </w:pPr>
      <w:r w:rsidRPr="006A6AEB">
        <w:rPr>
          <w:sz w:val="24"/>
          <w:szCs w:val="24"/>
        </w:rPr>
        <w:t xml:space="preserve">New York State </w:t>
      </w:r>
      <w:r w:rsidR="00E67D0B" w:rsidRPr="00C97255">
        <w:rPr>
          <w:sz w:val="24"/>
          <w:szCs w:val="24"/>
        </w:rPr>
        <w:t xml:space="preserve">has implemented a </w:t>
      </w:r>
      <w:r w:rsidRPr="00C97255">
        <w:rPr>
          <w:sz w:val="24"/>
          <w:szCs w:val="24"/>
        </w:rPr>
        <w:t xml:space="preserve">bold and aggressive </w:t>
      </w:r>
      <w:r w:rsidR="004172C9" w:rsidRPr="00C97255">
        <w:rPr>
          <w:sz w:val="24"/>
          <w:szCs w:val="24"/>
        </w:rPr>
        <w:t xml:space="preserve">approach </w:t>
      </w:r>
      <w:r w:rsidRPr="006A6AEB">
        <w:rPr>
          <w:sz w:val="24"/>
          <w:szCs w:val="24"/>
        </w:rPr>
        <w:t>to addressing Climate Change. I</w:t>
      </w:r>
      <w:r w:rsidR="00A570E9" w:rsidRPr="006A6AEB">
        <w:rPr>
          <w:sz w:val="24"/>
          <w:szCs w:val="24"/>
        </w:rPr>
        <w:t>n 2019, with the passage of the Climate Law and Community Protection Act (CLCPA), the State of New York established the goal of a 100% renewable electric grid by 2040, and net-zero carbon emissions economy wide by 2050. The New York State approach place</w:t>
      </w:r>
      <w:r w:rsidR="005D53C2" w:rsidRPr="006A6AEB">
        <w:rPr>
          <w:sz w:val="24"/>
          <w:szCs w:val="24"/>
        </w:rPr>
        <w:t>s</w:t>
      </w:r>
      <w:r w:rsidR="00A570E9" w:rsidRPr="006A6AEB">
        <w:rPr>
          <w:sz w:val="24"/>
          <w:szCs w:val="24"/>
        </w:rPr>
        <w:t xml:space="preserve"> front and center a concern for environmental justice, equity, and delivering results to historically underserved populations</w:t>
      </w:r>
      <w:r w:rsidR="00F0575E" w:rsidRPr="006A6AEB">
        <w:rPr>
          <w:sz w:val="24"/>
          <w:szCs w:val="24"/>
        </w:rPr>
        <w:t>. “</w:t>
      </w:r>
      <w:r w:rsidR="00F0575E" w:rsidRPr="006A6AEB">
        <w:rPr>
          <w:i/>
          <w:iCs/>
          <w:sz w:val="24"/>
          <w:szCs w:val="24"/>
        </w:rPr>
        <w:t>The Climate Act requires the state to invest or direct resources in a manner designed to ensure that disadvantaged communities to receive at least 35 percent, with the goal of 40 percent, of overall benefits of spending</w:t>
      </w:r>
      <w:r w:rsidR="00791CDD" w:rsidRPr="006A6AEB">
        <w:rPr>
          <w:sz w:val="24"/>
          <w:szCs w:val="24"/>
        </w:rPr>
        <w:t>”</w:t>
      </w:r>
      <w:r w:rsidR="00415344" w:rsidRPr="006A6AEB">
        <w:rPr>
          <w:rStyle w:val="FootnoteReference"/>
          <w:sz w:val="24"/>
          <w:szCs w:val="24"/>
        </w:rPr>
        <w:footnoteReference w:id="1"/>
      </w:r>
      <w:r w:rsidR="00A570E9" w:rsidRPr="006A6AEB">
        <w:rPr>
          <w:sz w:val="24"/>
          <w:szCs w:val="24"/>
        </w:rPr>
        <w:t>.</w:t>
      </w:r>
      <w:bookmarkStart w:id="0" w:name="_Hlk97049918"/>
      <w:r w:rsidR="00AB366B" w:rsidRPr="006A6AEB">
        <w:rPr>
          <w:sz w:val="24"/>
          <w:szCs w:val="24"/>
        </w:rPr>
        <w:t xml:space="preserve"> </w:t>
      </w:r>
    </w:p>
    <w:p w14:paraId="12F2736F" w14:textId="13C4A661" w:rsidR="00C13D47" w:rsidRPr="006A6AEB" w:rsidRDefault="00C13D47" w:rsidP="002740D5">
      <w:pPr>
        <w:ind w:firstLine="360"/>
        <w:rPr>
          <w:sz w:val="24"/>
          <w:szCs w:val="24"/>
        </w:rPr>
      </w:pPr>
      <w:r w:rsidRPr="006A6AEB">
        <w:rPr>
          <w:sz w:val="24"/>
          <w:szCs w:val="24"/>
        </w:rPr>
        <w:t>To meet the targets laid out in CLCPA, there is a need for a large amount of dispatchable emissions-free resources (DEFRs)</w:t>
      </w:r>
      <w:r w:rsidR="00BA25CA">
        <w:rPr>
          <w:rStyle w:val="FootnoteReference"/>
          <w:sz w:val="24"/>
          <w:szCs w:val="24"/>
        </w:rPr>
        <w:footnoteReference w:id="2"/>
      </w:r>
      <w:r w:rsidRPr="006A6AEB">
        <w:rPr>
          <w:sz w:val="24"/>
          <w:szCs w:val="24"/>
        </w:rPr>
        <w:t xml:space="preserve">. These DEFRs, an as-yet undefined technology, are essential for the safe and reliable operation of the New York State grid. </w:t>
      </w:r>
      <w:r w:rsidR="00B14ACC">
        <w:rPr>
          <w:sz w:val="24"/>
          <w:szCs w:val="24"/>
        </w:rPr>
        <w:t>For an</w:t>
      </w:r>
      <w:r w:rsidR="003E2F99">
        <w:rPr>
          <w:sz w:val="24"/>
          <w:szCs w:val="24"/>
        </w:rPr>
        <w:t xml:space="preserve">y number of reasons, </w:t>
      </w:r>
      <w:r w:rsidRPr="006A6AEB">
        <w:rPr>
          <w:sz w:val="24"/>
          <w:szCs w:val="24"/>
        </w:rPr>
        <w:t>the build out of renewables</w:t>
      </w:r>
      <w:r w:rsidR="00B14ACC">
        <w:rPr>
          <w:sz w:val="24"/>
          <w:szCs w:val="24"/>
        </w:rPr>
        <w:t xml:space="preserve"> and supporting</w:t>
      </w:r>
      <w:r w:rsidRPr="006A6AEB">
        <w:rPr>
          <w:sz w:val="24"/>
          <w:szCs w:val="24"/>
        </w:rPr>
        <w:t xml:space="preserve"> </w:t>
      </w:r>
      <w:r w:rsidR="00DB59BA">
        <w:rPr>
          <w:sz w:val="24"/>
          <w:szCs w:val="24"/>
        </w:rPr>
        <w:t>energy efficiency and grid functionality may fall s</w:t>
      </w:r>
      <w:r w:rsidRPr="006A6AEB">
        <w:rPr>
          <w:sz w:val="24"/>
          <w:szCs w:val="24"/>
        </w:rPr>
        <w:t xml:space="preserve">hort of projected targets. In that case, New York’s reliance on DEFRs </w:t>
      </w:r>
      <w:r w:rsidR="0072511F">
        <w:rPr>
          <w:sz w:val="24"/>
          <w:szCs w:val="24"/>
        </w:rPr>
        <w:t>can</w:t>
      </w:r>
      <w:r w:rsidRPr="006A6AEB">
        <w:rPr>
          <w:sz w:val="24"/>
          <w:szCs w:val="24"/>
        </w:rPr>
        <w:t xml:space="preserve"> increase dramatically.</w:t>
      </w:r>
    </w:p>
    <w:p w14:paraId="411BAD40" w14:textId="1F737486" w:rsidR="00C66760" w:rsidRDefault="00F106B5" w:rsidP="002740D5">
      <w:pPr>
        <w:ind w:firstLine="360"/>
        <w:rPr>
          <w:sz w:val="24"/>
          <w:szCs w:val="24"/>
        </w:rPr>
      </w:pPr>
      <w:r>
        <w:rPr>
          <w:sz w:val="24"/>
          <w:szCs w:val="24"/>
        </w:rPr>
        <w:t xml:space="preserve">According to the New York State Climate Action Council </w:t>
      </w:r>
      <w:proofErr w:type="gramStart"/>
      <w:r>
        <w:rPr>
          <w:sz w:val="24"/>
          <w:szCs w:val="24"/>
        </w:rPr>
        <w:t>draft</w:t>
      </w:r>
      <w:proofErr w:type="gramEnd"/>
      <w:r>
        <w:rPr>
          <w:sz w:val="24"/>
          <w:szCs w:val="24"/>
        </w:rPr>
        <w:t xml:space="preserve"> Scoping Plan, some amount of low carbon fuel usage will be needed </w:t>
      </w:r>
      <w:r w:rsidR="00326A12">
        <w:rPr>
          <w:sz w:val="24"/>
          <w:szCs w:val="24"/>
        </w:rPr>
        <w:t xml:space="preserve">meet Climate Act emissions limits </w:t>
      </w:r>
      <w:r>
        <w:rPr>
          <w:sz w:val="24"/>
          <w:szCs w:val="24"/>
        </w:rPr>
        <w:t xml:space="preserve">- </w:t>
      </w:r>
      <w:r w:rsidR="00DE479F">
        <w:rPr>
          <w:sz w:val="24"/>
          <w:szCs w:val="24"/>
        </w:rPr>
        <w:t xml:space="preserve">three detailed Scenarios in the scoping plan </w:t>
      </w:r>
      <w:r w:rsidR="002B7D62">
        <w:rPr>
          <w:sz w:val="24"/>
          <w:szCs w:val="24"/>
        </w:rPr>
        <w:t xml:space="preserve">include </w:t>
      </w:r>
      <w:r w:rsidR="00DE479F">
        <w:rPr>
          <w:sz w:val="24"/>
          <w:szCs w:val="24"/>
        </w:rPr>
        <w:t>use of low carbon fuel</w:t>
      </w:r>
      <w:r w:rsidR="00326A12">
        <w:rPr>
          <w:sz w:val="24"/>
          <w:szCs w:val="24"/>
        </w:rPr>
        <w:t>s</w:t>
      </w:r>
      <w:r>
        <w:rPr>
          <w:sz w:val="24"/>
          <w:szCs w:val="24"/>
        </w:rPr>
        <w:t xml:space="preserve">: </w:t>
      </w:r>
      <w:r w:rsidR="00382996" w:rsidRPr="00382996">
        <w:rPr>
          <w:sz w:val="24"/>
          <w:szCs w:val="24"/>
        </w:rPr>
        <w:t xml:space="preserve">Scenario 2: </w:t>
      </w:r>
      <w:r w:rsidR="00382996" w:rsidRPr="00382996">
        <w:rPr>
          <w:i/>
          <w:iCs/>
          <w:sz w:val="24"/>
          <w:szCs w:val="24"/>
        </w:rPr>
        <w:t>Strategic Use of Low Carbon fuels</w:t>
      </w:r>
      <w:r w:rsidR="00382996" w:rsidRPr="00382996">
        <w:rPr>
          <w:sz w:val="24"/>
          <w:szCs w:val="24"/>
        </w:rPr>
        <w:t>, anticipates a “high” level of Low Carbon Fuels</w:t>
      </w:r>
      <w:r>
        <w:rPr>
          <w:sz w:val="24"/>
          <w:szCs w:val="24"/>
        </w:rPr>
        <w:t>;</w:t>
      </w:r>
      <w:r w:rsidRPr="00382996">
        <w:rPr>
          <w:sz w:val="24"/>
          <w:szCs w:val="24"/>
        </w:rPr>
        <w:t xml:space="preserve"> </w:t>
      </w:r>
      <w:r w:rsidR="00382996" w:rsidRPr="00382996">
        <w:rPr>
          <w:sz w:val="24"/>
          <w:szCs w:val="24"/>
        </w:rPr>
        <w:t>Scenario 3</w:t>
      </w:r>
      <w:r w:rsidR="00382996" w:rsidRPr="00382996">
        <w:rPr>
          <w:i/>
          <w:iCs/>
          <w:sz w:val="24"/>
          <w:szCs w:val="24"/>
        </w:rPr>
        <w:t>. Accelerated</w:t>
      </w:r>
      <w:r w:rsidR="00382996" w:rsidRPr="00382996">
        <w:rPr>
          <w:sz w:val="24"/>
          <w:szCs w:val="24"/>
        </w:rPr>
        <w:t xml:space="preserve"> </w:t>
      </w:r>
      <w:r w:rsidR="00382996" w:rsidRPr="00382996">
        <w:rPr>
          <w:i/>
          <w:iCs/>
          <w:sz w:val="24"/>
          <w:szCs w:val="24"/>
        </w:rPr>
        <w:t xml:space="preserve">Transition Away </w:t>
      </w:r>
      <w:r w:rsidR="00326A12">
        <w:rPr>
          <w:i/>
          <w:iCs/>
          <w:sz w:val="24"/>
          <w:szCs w:val="24"/>
        </w:rPr>
        <w:t>f</w:t>
      </w:r>
      <w:r w:rsidR="00326A12" w:rsidRPr="00382996">
        <w:rPr>
          <w:i/>
          <w:iCs/>
          <w:sz w:val="24"/>
          <w:szCs w:val="24"/>
        </w:rPr>
        <w:t xml:space="preserve">rom </w:t>
      </w:r>
      <w:r w:rsidR="00382996" w:rsidRPr="00382996">
        <w:rPr>
          <w:i/>
          <w:iCs/>
          <w:sz w:val="24"/>
          <w:szCs w:val="24"/>
        </w:rPr>
        <w:t>Combustion</w:t>
      </w:r>
      <w:r w:rsidR="00382996" w:rsidRPr="00382996">
        <w:rPr>
          <w:sz w:val="24"/>
          <w:szCs w:val="24"/>
        </w:rPr>
        <w:t xml:space="preserve"> envisions a </w:t>
      </w:r>
      <w:r w:rsidR="005B62FE">
        <w:rPr>
          <w:sz w:val="24"/>
          <w:szCs w:val="24"/>
        </w:rPr>
        <w:t xml:space="preserve">limited or </w:t>
      </w:r>
      <w:r w:rsidR="00382996" w:rsidRPr="00382996">
        <w:rPr>
          <w:sz w:val="24"/>
          <w:szCs w:val="24"/>
        </w:rPr>
        <w:t>“Low” usage of Low Carbon Fuels</w:t>
      </w:r>
      <w:r>
        <w:rPr>
          <w:sz w:val="24"/>
          <w:szCs w:val="24"/>
        </w:rPr>
        <w:t>; and</w:t>
      </w:r>
      <w:r w:rsidRPr="00382996">
        <w:rPr>
          <w:sz w:val="24"/>
          <w:szCs w:val="24"/>
        </w:rPr>
        <w:t xml:space="preserve"> </w:t>
      </w:r>
      <w:r w:rsidR="00382996" w:rsidRPr="00382996">
        <w:rPr>
          <w:sz w:val="24"/>
          <w:szCs w:val="24"/>
        </w:rPr>
        <w:t xml:space="preserve">Scenario 4: </w:t>
      </w:r>
      <w:r w:rsidR="00382996" w:rsidRPr="00382996">
        <w:rPr>
          <w:i/>
          <w:iCs/>
          <w:sz w:val="24"/>
          <w:szCs w:val="24"/>
        </w:rPr>
        <w:t>Beyond 85% Reduction</w:t>
      </w:r>
      <w:r w:rsidR="00382996" w:rsidRPr="00382996">
        <w:rPr>
          <w:sz w:val="24"/>
          <w:szCs w:val="24"/>
        </w:rPr>
        <w:t xml:space="preserve">, indicates a </w:t>
      </w:r>
      <w:r w:rsidR="00326A12">
        <w:rPr>
          <w:sz w:val="24"/>
          <w:szCs w:val="24"/>
        </w:rPr>
        <w:t xml:space="preserve">targeted or </w:t>
      </w:r>
      <w:r w:rsidR="00382996" w:rsidRPr="00382996">
        <w:rPr>
          <w:sz w:val="24"/>
          <w:szCs w:val="24"/>
        </w:rPr>
        <w:t xml:space="preserve">“Medium” level of </w:t>
      </w:r>
      <w:r w:rsidR="00AD386F" w:rsidRPr="00382996">
        <w:rPr>
          <w:sz w:val="24"/>
          <w:szCs w:val="24"/>
        </w:rPr>
        <w:t>usage</w:t>
      </w:r>
      <w:r w:rsidR="00AD386F">
        <w:rPr>
          <w:sz w:val="24"/>
          <w:szCs w:val="24"/>
        </w:rPr>
        <w:t>.</w:t>
      </w:r>
      <w:r w:rsidR="00DE479F">
        <w:rPr>
          <w:rStyle w:val="FootnoteReference"/>
          <w:sz w:val="24"/>
          <w:szCs w:val="24"/>
        </w:rPr>
        <w:footnoteReference w:id="3"/>
      </w:r>
      <w:r w:rsidR="00DE479F">
        <w:rPr>
          <w:sz w:val="24"/>
          <w:szCs w:val="24"/>
        </w:rPr>
        <w:t xml:space="preserve">  </w:t>
      </w:r>
    </w:p>
    <w:p w14:paraId="5EB04905" w14:textId="10A59BDD" w:rsidR="00376B7D" w:rsidRDefault="00B11D44" w:rsidP="002740D5">
      <w:pPr>
        <w:ind w:firstLine="360"/>
        <w:rPr>
          <w:sz w:val="24"/>
          <w:szCs w:val="24"/>
        </w:rPr>
      </w:pPr>
      <w:r>
        <w:rPr>
          <w:sz w:val="24"/>
          <w:szCs w:val="24"/>
        </w:rPr>
        <w:t xml:space="preserve">To maximize efficiency, to enhance resiliency, to </w:t>
      </w:r>
      <w:r w:rsidR="00613194">
        <w:rPr>
          <w:sz w:val="24"/>
          <w:szCs w:val="24"/>
        </w:rPr>
        <w:t>minimize costs and energy burdens</w:t>
      </w:r>
      <w:r w:rsidR="00F106B5">
        <w:rPr>
          <w:sz w:val="24"/>
          <w:szCs w:val="24"/>
        </w:rPr>
        <w:t xml:space="preserve"> and to extend supply</w:t>
      </w:r>
      <w:r w:rsidR="00613194">
        <w:rPr>
          <w:sz w:val="24"/>
          <w:szCs w:val="24"/>
        </w:rPr>
        <w:t xml:space="preserve">, </w:t>
      </w:r>
      <w:r w:rsidR="00185214">
        <w:rPr>
          <w:sz w:val="24"/>
          <w:szCs w:val="24"/>
        </w:rPr>
        <w:t xml:space="preserve">low carbon </w:t>
      </w:r>
      <w:r w:rsidR="00B35FEC">
        <w:rPr>
          <w:sz w:val="24"/>
          <w:szCs w:val="24"/>
        </w:rPr>
        <w:t>fuel</w:t>
      </w:r>
      <w:r w:rsidR="003E7EC7">
        <w:rPr>
          <w:sz w:val="24"/>
          <w:szCs w:val="24"/>
        </w:rPr>
        <w:t xml:space="preserve">s should be used in the most </w:t>
      </w:r>
      <w:r w:rsidR="00F106B5">
        <w:rPr>
          <w:sz w:val="24"/>
          <w:szCs w:val="24"/>
        </w:rPr>
        <w:t xml:space="preserve">efficient and </w:t>
      </w:r>
      <w:r w:rsidR="003E7EC7">
        <w:rPr>
          <w:sz w:val="24"/>
          <w:szCs w:val="24"/>
        </w:rPr>
        <w:t>optimal manner.</w:t>
      </w:r>
      <w:r w:rsidR="00B35FEC">
        <w:rPr>
          <w:sz w:val="24"/>
          <w:szCs w:val="24"/>
        </w:rPr>
        <w:t xml:space="preserve"> </w:t>
      </w:r>
      <w:r w:rsidR="00C33772" w:rsidRPr="00BB2B45">
        <w:rPr>
          <w:sz w:val="24"/>
          <w:szCs w:val="24"/>
        </w:rPr>
        <w:t xml:space="preserve">Combined Heat and Power (CHP) systems operating on low and zero-carbon fuels </w:t>
      </w:r>
      <w:r w:rsidR="00520D6C" w:rsidRPr="00BB2B45">
        <w:rPr>
          <w:sz w:val="24"/>
          <w:szCs w:val="24"/>
        </w:rPr>
        <w:t xml:space="preserve">are </w:t>
      </w:r>
      <w:r w:rsidR="00C33772" w:rsidRPr="00BB2B45">
        <w:rPr>
          <w:sz w:val="24"/>
          <w:szCs w:val="24"/>
        </w:rPr>
        <w:t xml:space="preserve">an efficient and economical approach for meeting </w:t>
      </w:r>
      <w:r w:rsidR="00F106B5">
        <w:rPr>
          <w:sz w:val="24"/>
          <w:szCs w:val="24"/>
        </w:rPr>
        <w:t>the</w:t>
      </w:r>
      <w:r w:rsidR="00F106B5" w:rsidRPr="00BB2B45">
        <w:rPr>
          <w:sz w:val="24"/>
          <w:szCs w:val="24"/>
        </w:rPr>
        <w:t xml:space="preserve"> </w:t>
      </w:r>
      <w:r w:rsidR="00C33772" w:rsidRPr="00BB2B45">
        <w:rPr>
          <w:sz w:val="24"/>
          <w:szCs w:val="24"/>
        </w:rPr>
        <w:t>State’s need for dispatchable, emissions free resources that are distributed and flexible in their operation</w:t>
      </w:r>
      <w:r w:rsidR="003F6B71" w:rsidRPr="00BB2B45">
        <w:rPr>
          <w:sz w:val="24"/>
          <w:szCs w:val="24"/>
        </w:rPr>
        <w:t>.</w:t>
      </w:r>
      <w:r w:rsidR="003F6B71">
        <w:rPr>
          <w:sz w:val="24"/>
          <w:szCs w:val="24"/>
        </w:rPr>
        <w:t xml:space="preserve"> </w:t>
      </w:r>
    </w:p>
    <w:p w14:paraId="23CEF202" w14:textId="70A83555" w:rsidR="00F61E75" w:rsidRPr="006A6AEB" w:rsidRDefault="0099255C" w:rsidP="002740D5">
      <w:pPr>
        <w:ind w:firstLine="360"/>
        <w:rPr>
          <w:sz w:val="24"/>
          <w:szCs w:val="24"/>
        </w:rPr>
      </w:pPr>
      <w:r w:rsidRPr="0099255C">
        <w:rPr>
          <w:sz w:val="24"/>
          <w:szCs w:val="24"/>
        </w:rPr>
        <w:t>While efficiencies vary for CHP installations based on site-specific parameters, a properly designed CHP system will typically operate with an overall fuel use efficiency of 65–85% (DOE 2017).</w:t>
      </w:r>
      <w:r w:rsidRPr="0099255C">
        <w:rPr>
          <w:rStyle w:val="FootnoteReference"/>
          <w:sz w:val="24"/>
          <w:szCs w:val="24"/>
        </w:rPr>
        <w:footnoteReference w:id="4"/>
      </w:r>
      <w:r w:rsidR="00C82A2C">
        <w:rPr>
          <w:sz w:val="24"/>
          <w:szCs w:val="24"/>
        </w:rPr>
        <w:t xml:space="preserve"> </w:t>
      </w:r>
      <w:r w:rsidR="003A6C51" w:rsidRPr="003A6C51">
        <w:rPr>
          <w:sz w:val="24"/>
          <w:szCs w:val="24"/>
        </w:rPr>
        <w:t>No matter what fuel – Renewable Natural Gas, Hydrogen, Gas with Carbon Capture or Biomass, CHP is the most efficient</w:t>
      </w:r>
      <w:r w:rsidR="00185214">
        <w:rPr>
          <w:sz w:val="24"/>
          <w:szCs w:val="24"/>
        </w:rPr>
        <w:t>, and economic</w:t>
      </w:r>
      <w:r w:rsidR="00531F50">
        <w:rPr>
          <w:sz w:val="24"/>
          <w:szCs w:val="24"/>
        </w:rPr>
        <w:t>,</w:t>
      </w:r>
      <w:r w:rsidR="003A6C51" w:rsidRPr="003A6C51">
        <w:rPr>
          <w:sz w:val="24"/>
          <w:szCs w:val="24"/>
        </w:rPr>
        <w:t xml:space="preserve"> use of the fuel when located at compatible thermal loads</w:t>
      </w:r>
      <w:r w:rsidR="00906CD6">
        <w:rPr>
          <w:sz w:val="24"/>
          <w:szCs w:val="24"/>
        </w:rPr>
        <w:t xml:space="preserve">. </w:t>
      </w:r>
      <w:r w:rsidR="00F61E75" w:rsidRPr="006A6AEB">
        <w:rPr>
          <w:sz w:val="24"/>
          <w:szCs w:val="24"/>
        </w:rPr>
        <w:t xml:space="preserve">With </w:t>
      </w:r>
      <w:r w:rsidR="00E527F6" w:rsidRPr="006A6AEB">
        <w:rPr>
          <w:sz w:val="24"/>
          <w:szCs w:val="24"/>
        </w:rPr>
        <w:t>low- and moderate-income</w:t>
      </w:r>
      <w:r w:rsidR="00232364">
        <w:rPr>
          <w:sz w:val="24"/>
          <w:szCs w:val="24"/>
        </w:rPr>
        <w:t xml:space="preserve"> </w:t>
      </w:r>
      <w:r w:rsidR="00C82A2C">
        <w:rPr>
          <w:sz w:val="24"/>
          <w:szCs w:val="24"/>
        </w:rPr>
        <w:t>h</w:t>
      </w:r>
      <w:r w:rsidR="00F61E75" w:rsidRPr="006A6AEB">
        <w:rPr>
          <w:sz w:val="24"/>
          <w:szCs w:val="24"/>
        </w:rPr>
        <w:t xml:space="preserve">ouseholds in New York State already suffering a high and rising energy burden, energy affordability </w:t>
      </w:r>
      <w:r w:rsidR="00F61E75" w:rsidRPr="00C97255">
        <w:rPr>
          <w:b/>
          <w:bCs/>
          <w:sz w:val="24"/>
          <w:szCs w:val="24"/>
        </w:rPr>
        <w:t xml:space="preserve">is a </w:t>
      </w:r>
      <w:r w:rsidR="00F61E75" w:rsidRPr="00C97255">
        <w:rPr>
          <w:b/>
          <w:bCs/>
          <w:sz w:val="24"/>
          <w:szCs w:val="24"/>
        </w:rPr>
        <w:lastRenderedPageBreak/>
        <w:t xml:space="preserve">matter of </w:t>
      </w:r>
      <w:r w:rsidR="00F47D4D" w:rsidRPr="00C97255">
        <w:rPr>
          <w:b/>
          <w:bCs/>
          <w:sz w:val="24"/>
          <w:szCs w:val="24"/>
        </w:rPr>
        <w:t xml:space="preserve">increasing </w:t>
      </w:r>
      <w:r w:rsidR="00F61E75" w:rsidRPr="00C97255">
        <w:rPr>
          <w:b/>
          <w:bCs/>
          <w:sz w:val="24"/>
          <w:szCs w:val="24"/>
        </w:rPr>
        <w:t>concern</w:t>
      </w:r>
      <w:r w:rsidR="00A7083C" w:rsidRPr="00C97255">
        <w:rPr>
          <w:b/>
          <w:bCs/>
          <w:sz w:val="24"/>
          <w:szCs w:val="24"/>
        </w:rPr>
        <w:t>.</w:t>
      </w:r>
      <w:r w:rsidR="00F61E75" w:rsidRPr="00C97255">
        <w:rPr>
          <w:rStyle w:val="FootnoteReference"/>
          <w:b/>
          <w:bCs/>
          <w:sz w:val="24"/>
          <w:szCs w:val="24"/>
        </w:rPr>
        <w:footnoteReference w:id="5"/>
      </w:r>
      <w:bookmarkEnd w:id="0"/>
      <w:r w:rsidR="00C82A2C" w:rsidRPr="00C97255">
        <w:rPr>
          <w:sz w:val="24"/>
          <w:szCs w:val="24"/>
        </w:rPr>
        <w:t xml:space="preserve"> </w:t>
      </w:r>
      <w:r w:rsidR="0006325E" w:rsidRPr="006A6AEB">
        <w:rPr>
          <w:sz w:val="24"/>
          <w:szCs w:val="24"/>
        </w:rPr>
        <w:t xml:space="preserve">New Yorkers have fallen further behind on utility bills during the pandemic, with total energy arrears of about $1.8 billion, according to January data from the state’s Public Service Commission. That’s more than twice the total before the pandemic, </w:t>
      </w:r>
      <w:r w:rsidR="00F106B5">
        <w:rPr>
          <w:sz w:val="24"/>
          <w:szCs w:val="24"/>
        </w:rPr>
        <w:t xml:space="preserve">according to </w:t>
      </w:r>
      <w:r w:rsidR="0006325E" w:rsidRPr="006A6AEB">
        <w:rPr>
          <w:sz w:val="24"/>
          <w:szCs w:val="24"/>
        </w:rPr>
        <w:t>observers.</w:t>
      </w:r>
      <w:r w:rsidR="00226DD7" w:rsidRPr="006A6AEB">
        <w:rPr>
          <w:rStyle w:val="FootnoteReference"/>
          <w:sz w:val="24"/>
          <w:szCs w:val="24"/>
        </w:rPr>
        <w:footnoteReference w:id="6"/>
      </w:r>
    </w:p>
    <w:p w14:paraId="633A292D" w14:textId="7C368ED1" w:rsidR="00336A1A" w:rsidRPr="006A6AEB" w:rsidRDefault="00336A1A" w:rsidP="002740D5">
      <w:pPr>
        <w:ind w:firstLine="360"/>
        <w:rPr>
          <w:sz w:val="24"/>
          <w:szCs w:val="24"/>
        </w:rPr>
      </w:pPr>
      <w:r w:rsidRPr="006A6AEB">
        <w:rPr>
          <w:sz w:val="24"/>
          <w:szCs w:val="24"/>
        </w:rPr>
        <w:t xml:space="preserve">On-site consumption of </w:t>
      </w:r>
      <w:r w:rsidR="00664324" w:rsidRPr="006A6AEB">
        <w:rPr>
          <w:sz w:val="24"/>
          <w:szCs w:val="24"/>
        </w:rPr>
        <w:t xml:space="preserve">emissions-free fuels can play an </w:t>
      </w:r>
      <w:r w:rsidRPr="006A6AEB">
        <w:rPr>
          <w:sz w:val="24"/>
          <w:szCs w:val="24"/>
        </w:rPr>
        <w:t xml:space="preserve">invaluable role in meeting system peaks, greatly reducing the need for costly investment in nearly unutilized or grossly under-utilized capacity. </w:t>
      </w:r>
      <w:r w:rsidR="00DD485F" w:rsidRPr="006A6AEB">
        <w:rPr>
          <w:sz w:val="24"/>
          <w:szCs w:val="24"/>
        </w:rPr>
        <w:t>Using CHP to s</w:t>
      </w:r>
      <w:r w:rsidRPr="006A6AEB">
        <w:rPr>
          <w:sz w:val="24"/>
          <w:szCs w:val="24"/>
        </w:rPr>
        <w:t xml:space="preserve">upplement heat pumps in large multifamily buildings and mixed-use campuses and commercial buildings, as well as in district heating loops can provide significant cost savings while delivering important resiliency benefits for vulnerable populations, critical </w:t>
      </w:r>
      <w:proofErr w:type="gramStart"/>
      <w:r w:rsidRPr="006A6AEB">
        <w:rPr>
          <w:sz w:val="24"/>
          <w:szCs w:val="24"/>
        </w:rPr>
        <w:t>infrastructure</w:t>
      </w:r>
      <w:proofErr w:type="gramEnd"/>
      <w:r w:rsidRPr="006A6AEB">
        <w:rPr>
          <w:sz w:val="24"/>
          <w:szCs w:val="24"/>
        </w:rPr>
        <w:t xml:space="preserve"> and important economic function. Where applicable</w:t>
      </w:r>
      <w:r w:rsidR="007661CD">
        <w:rPr>
          <w:sz w:val="24"/>
          <w:szCs w:val="24"/>
        </w:rPr>
        <w:t>,</w:t>
      </w:r>
      <w:r w:rsidRPr="006A6AEB">
        <w:rPr>
          <w:sz w:val="24"/>
          <w:szCs w:val="24"/>
        </w:rPr>
        <w:t xml:space="preserve"> CHP delivers a double dividend benefit reducing winter electric peaks at a time when solar capacity factor is at its minimum and providing thermal energy security</w:t>
      </w:r>
      <w:r w:rsidR="001E0965" w:rsidRPr="006A6AEB">
        <w:rPr>
          <w:sz w:val="24"/>
          <w:szCs w:val="24"/>
        </w:rPr>
        <w:t xml:space="preserve"> in the form of space </w:t>
      </w:r>
      <w:r w:rsidRPr="006A6AEB">
        <w:rPr>
          <w:sz w:val="24"/>
          <w:szCs w:val="24"/>
        </w:rPr>
        <w:t>heating and hot water.</w:t>
      </w:r>
    </w:p>
    <w:p w14:paraId="45ACBC39" w14:textId="5411E92D" w:rsidR="002E4359" w:rsidRPr="006A6AEB" w:rsidRDefault="000B1574" w:rsidP="002740D5">
      <w:pPr>
        <w:ind w:firstLine="360"/>
        <w:rPr>
          <w:sz w:val="24"/>
          <w:szCs w:val="24"/>
        </w:rPr>
      </w:pPr>
      <w:r w:rsidRPr="006A6AEB">
        <w:rPr>
          <w:sz w:val="24"/>
          <w:szCs w:val="24"/>
        </w:rPr>
        <w:t xml:space="preserve">Because CHP has historically used natural gas as a primary fuel, it is </w:t>
      </w:r>
      <w:r w:rsidR="007661CD">
        <w:rPr>
          <w:sz w:val="24"/>
          <w:szCs w:val="24"/>
        </w:rPr>
        <w:t>often</w:t>
      </w:r>
      <w:r w:rsidRPr="006A6AEB">
        <w:rPr>
          <w:sz w:val="24"/>
          <w:szCs w:val="24"/>
        </w:rPr>
        <w:t xml:space="preserve"> left out of discussions on decarbonization technologies.</w:t>
      </w:r>
      <w:r w:rsidR="00A515B3">
        <w:rPr>
          <w:sz w:val="24"/>
          <w:szCs w:val="24"/>
        </w:rPr>
        <w:t xml:space="preserve"> However, </w:t>
      </w:r>
      <w:r w:rsidR="002E4359" w:rsidRPr="006A6AEB">
        <w:rPr>
          <w:sz w:val="24"/>
          <w:szCs w:val="24"/>
        </w:rPr>
        <w:t xml:space="preserve">CHP solutions </w:t>
      </w:r>
      <w:r w:rsidR="003A543C">
        <w:rPr>
          <w:sz w:val="24"/>
          <w:szCs w:val="24"/>
        </w:rPr>
        <w:t>can deliver</w:t>
      </w:r>
      <w:r w:rsidR="002E4359" w:rsidRPr="006A6AEB">
        <w:rPr>
          <w:sz w:val="24"/>
          <w:szCs w:val="24"/>
        </w:rPr>
        <w:t xml:space="preserve"> measured, quantified, verified benefits</w:t>
      </w:r>
      <w:r w:rsidR="004D1AF6">
        <w:rPr>
          <w:sz w:val="24"/>
          <w:szCs w:val="24"/>
        </w:rPr>
        <w:t xml:space="preserve"> </w:t>
      </w:r>
      <w:proofErr w:type="gramStart"/>
      <w:r w:rsidR="004D1AF6">
        <w:rPr>
          <w:sz w:val="24"/>
          <w:szCs w:val="24"/>
        </w:rPr>
        <w:t>similar to</w:t>
      </w:r>
      <w:proofErr w:type="gramEnd"/>
      <w:r w:rsidR="004D1AF6">
        <w:rPr>
          <w:sz w:val="24"/>
          <w:szCs w:val="24"/>
        </w:rPr>
        <w:t xml:space="preserve"> </w:t>
      </w:r>
      <w:r w:rsidR="002E4359" w:rsidRPr="006A6AEB">
        <w:rPr>
          <w:sz w:val="24"/>
          <w:szCs w:val="24"/>
        </w:rPr>
        <w:t xml:space="preserve">other clean energy technologies and systems. </w:t>
      </w:r>
      <w:r w:rsidR="00CA0DF7" w:rsidRPr="006A6AEB">
        <w:rPr>
          <w:sz w:val="24"/>
          <w:szCs w:val="24"/>
        </w:rPr>
        <w:t>A November 2020 US DOE report notes the following:</w:t>
      </w:r>
    </w:p>
    <w:p w14:paraId="32691952" w14:textId="09742F5F" w:rsidR="001844DA" w:rsidRPr="006A6AEB" w:rsidRDefault="001844DA" w:rsidP="002740D5">
      <w:pPr>
        <w:ind w:firstLine="360"/>
        <w:rPr>
          <w:sz w:val="24"/>
          <w:szCs w:val="24"/>
        </w:rPr>
      </w:pPr>
      <w:r w:rsidRPr="00BB2B45">
        <w:rPr>
          <w:i/>
          <w:iCs/>
          <w:sz w:val="24"/>
          <w:szCs w:val="24"/>
        </w:rPr>
        <w:t>As states and utilities explore scenarios to meet energy-related goals, CHP can continue to provide value and help balance key priorities, including: 1) providing efficient and reliable electricity and thermal energy to the U.S. industrial sector; 2) increasing our power system’s resilience to support our nation’s critical infrastructure; 3) supporting grid integration of wind, solar, and energy storage technologies; and 4) helping the U.S. maintain its global leadership position in reducing carbon dioxide and other emissions while keeping electricity prices affordable</w:t>
      </w:r>
      <w:r w:rsidR="00E31465" w:rsidRPr="00BB2B45">
        <w:rPr>
          <w:i/>
          <w:iCs/>
          <w:sz w:val="24"/>
          <w:szCs w:val="24"/>
        </w:rPr>
        <w:t>.</w:t>
      </w:r>
      <w:r w:rsidRPr="006A6AEB">
        <w:rPr>
          <w:rStyle w:val="FootnoteReference"/>
          <w:sz w:val="24"/>
          <w:szCs w:val="24"/>
        </w:rPr>
        <w:footnoteReference w:id="7"/>
      </w:r>
    </w:p>
    <w:p w14:paraId="64EBB371" w14:textId="48A81941" w:rsidR="00600FA8" w:rsidRDefault="000E3140" w:rsidP="002740D5">
      <w:pPr>
        <w:ind w:firstLine="360"/>
        <w:rPr>
          <w:sz w:val="24"/>
          <w:szCs w:val="24"/>
        </w:rPr>
      </w:pPr>
      <w:r w:rsidRPr="006A6AEB">
        <w:rPr>
          <w:sz w:val="24"/>
          <w:szCs w:val="24"/>
        </w:rPr>
        <w:t>Large capital investments</w:t>
      </w:r>
      <w:r w:rsidR="00E9013C" w:rsidRPr="006A6AEB">
        <w:rPr>
          <w:sz w:val="24"/>
          <w:szCs w:val="24"/>
        </w:rPr>
        <w:t xml:space="preserve"> require considerable lead times for design, development</w:t>
      </w:r>
      <w:r w:rsidR="00E31465">
        <w:rPr>
          <w:sz w:val="24"/>
          <w:szCs w:val="24"/>
        </w:rPr>
        <w:t>,</w:t>
      </w:r>
      <w:r w:rsidR="00E9013C" w:rsidRPr="006A6AEB">
        <w:rPr>
          <w:sz w:val="24"/>
          <w:szCs w:val="24"/>
        </w:rPr>
        <w:t xml:space="preserve"> and operation. Investors in </w:t>
      </w:r>
      <w:r w:rsidR="006A474F">
        <w:rPr>
          <w:sz w:val="24"/>
          <w:szCs w:val="24"/>
        </w:rPr>
        <w:t>CHP and CHP</w:t>
      </w:r>
      <w:r w:rsidR="00905A45">
        <w:rPr>
          <w:sz w:val="24"/>
          <w:szCs w:val="24"/>
        </w:rPr>
        <w:t xml:space="preserve">/hybrid </w:t>
      </w:r>
      <w:r w:rsidR="00E9013C" w:rsidRPr="006A6AEB">
        <w:rPr>
          <w:sz w:val="24"/>
          <w:szCs w:val="24"/>
        </w:rPr>
        <w:t>technology</w:t>
      </w:r>
      <w:r w:rsidR="00BB2B45">
        <w:rPr>
          <w:rStyle w:val="FootnoteReference"/>
          <w:sz w:val="24"/>
          <w:szCs w:val="24"/>
        </w:rPr>
        <w:footnoteReference w:id="8"/>
      </w:r>
      <w:r w:rsidR="00E9013C" w:rsidRPr="006A6AEB">
        <w:rPr>
          <w:sz w:val="24"/>
          <w:szCs w:val="24"/>
        </w:rPr>
        <w:t xml:space="preserve"> solutions and systems</w:t>
      </w:r>
      <w:r w:rsidR="00905A45">
        <w:rPr>
          <w:sz w:val="24"/>
          <w:szCs w:val="24"/>
        </w:rPr>
        <w:t xml:space="preserve"> will </w:t>
      </w:r>
      <w:r w:rsidR="00DE4BF8">
        <w:rPr>
          <w:sz w:val="24"/>
          <w:szCs w:val="24"/>
        </w:rPr>
        <w:t>benefit if the</w:t>
      </w:r>
      <w:r w:rsidR="00B00220">
        <w:rPr>
          <w:sz w:val="24"/>
          <w:szCs w:val="24"/>
        </w:rPr>
        <w:t>ir</w:t>
      </w:r>
      <w:r w:rsidR="00DE4BF8">
        <w:rPr>
          <w:sz w:val="24"/>
          <w:szCs w:val="24"/>
        </w:rPr>
        <w:t xml:space="preserve"> </w:t>
      </w:r>
      <w:r w:rsidR="00B00220">
        <w:rPr>
          <w:sz w:val="24"/>
          <w:szCs w:val="24"/>
        </w:rPr>
        <w:t>systems</w:t>
      </w:r>
      <w:r w:rsidR="00544590">
        <w:rPr>
          <w:sz w:val="24"/>
          <w:szCs w:val="24"/>
        </w:rPr>
        <w:t>, contingent upon proven performance</w:t>
      </w:r>
      <w:r w:rsidR="00E31465">
        <w:rPr>
          <w:sz w:val="24"/>
          <w:szCs w:val="24"/>
        </w:rPr>
        <w:t>,</w:t>
      </w:r>
      <w:r w:rsidR="00B00220">
        <w:rPr>
          <w:sz w:val="24"/>
          <w:szCs w:val="24"/>
        </w:rPr>
        <w:t xml:space="preserve"> </w:t>
      </w:r>
      <w:r w:rsidR="00FD7092">
        <w:rPr>
          <w:sz w:val="24"/>
          <w:szCs w:val="24"/>
        </w:rPr>
        <w:t xml:space="preserve">are eligible to monetize </w:t>
      </w:r>
      <w:r w:rsidR="00CD4916">
        <w:rPr>
          <w:sz w:val="24"/>
          <w:szCs w:val="24"/>
        </w:rPr>
        <w:t>en</w:t>
      </w:r>
      <w:r w:rsidR="00E9013C" w:rsidRPr="006A6AEB">
        <w:rPr>
          <w:sz w:val="24"/>
          <w:szCs w:val="24"/>
        </w:rPr>
        <w:t xml:space="preserve">vironmental, energy, decarbonization and resiliency benefits. </w:t>
      </w:r>
      <w:r w:rsidR="00FD7092">
        <w:rPr>
          <w:sz w:val="24"/>
          <w:szCs w:val="24"/>
        </w:rPr>
        <w:t xml:space="preserve"> </w:t>
      </w:r>
      <w:r w:rsidR="00DD060D" w:rsidRPr="006A6AEB">
        <w:rPr>
          <w:sz w:val="24"/>
          <w:szCs w:val="24"/>
        </w:rPr>
        <w:t>I</w:t>
      </w:r>
      <w:r w:rsidR="00955E40" w:rsidRPr="006A6AEB">
        <w:rPr>
          <w:sz w:val="24"/>
          <w:szCs w:val="24"/>
        </w:rPr>
        <w:t xml:space="preserve">mplementation of </w:t>
      </w:r>
      <w:r w:rsidR="0028091C" w:rsidRPr="006A6AEB">
        <w:rPr>
          <w:sz w:val="24"/>
          <w:szCs w:val="24"/>
        </w:rPr>
        <w:t xml:space="preserve">pilots and demonstration projects with </w:t>
      </w:r>
      <w:r w:rsidR="00B87CD3">
        <w:rPr>
          <w:sz w:val="24"/>
          <w:szCs w:val="24"/>
        </w:rPr>
        <w:t xml:space="preserve">low carbon </w:t>
      </w:r>
      <w:r w:rsidR="0028091C" w:rsidRPr="006A6AEB">
        <w:rPr>
          <w:sz w:val="24"/>
          <w:szCs w:val="24"/>
        </w:rPr>
        <w:t xml:space="preserve">fuels and CHP </w:t>
      </w:r>
      <w:r w:rsidR="00D664EF">
        <w:rPr>
          <w:sz w:val="24"/>
          <w:szCs w:val="24"/>
        </w:rPr>
        <w:t xml:space="preserve">could be designed to stress test </w:t>
      </w:r>
      <w:r w:rsidR="0028091C" w:rsidRPr="006A6AEB">
        <w:rPr>
          <w:sz w:val="24"/>
          <w:szCs w:val="24"/>
        </w:rPr>
        <w:t xml:space="preserve">performance of these projects </w:t>
      </w:r>
      <w:r w:rsidR="00D664EF">
        <w:rPr>
          <w:sz w:val="24"/>
          <w:szCs w:val="24"/>
        </w:rPr>
        <w:t xml:space="preserve">providing valuable </w:t>
      </w:r>
      <w:r w:rsidR="0028091C" w:rsidRPr="006A6AEB">
        <w:rPr>
          <w:sz w:val="24"/>
          <w:szCs w:val="24"/>
        </w:rPr>
        <w:t>measure</w:t>
      </w:r>
      <w:r w:rsidR="00D664EF">
        <w:rPr>
          <w:sz w:val="24"/>
          <w:szCs w:val="24"/>
        </w:rPr>
        <w:t>ment</w:t>
      </w:r>
      <w:r w:rsidR="0028091C" w:rsidRPr="006A6AEB">
        <w:rPr>
          <w:sz w:val="24"/>
          <w:szCs w:val="24"/>
        </w:rPr>
        <w:t xml:space="preserve"> and verif</w:t>
      </w:r>
      <w:r w:rsidR="00D664EF">
        <w:rPr>
          <w:sz w:val="24"/>
          <w:szCs w:val="24"/>
        </w:rPr>
        <w:t>ication data.</w:t>
      </w:r>
      <w:r w:rsidR="00955E40" w:rsidRPr="006A6AEB">
        <w:rPr>
          <w:sz w:val="24"/>
          <w:szCs w:val="24"/>
        </w:rPr>
        <w:t xml:space="preserve"> </w:t>
      </w:r>
      <w:r w:rsidR="0028091C" w:rsidRPr="006A6AEB">
        <w:rPr>
          <w:sz w:val="24"/>
          <w:szCs w:val="24"/>
        </w:rPr>
        <w:t xml:space="preserve">The performance </w:t>
      </w:r>
      <w:r w:rsidR="009E0348" w:rsidRPr="006A6AEB">
        <w:rPr>
          <w:sz w:val="24"/>
          <w:szCs w:val="24"/>
        </w:rPr>
        <w:t xml:space="preserve">of CHP solutions </w:t>
      </w:r>
      <w:r w:rsidR="0028091C" w:rsidRPr="006A6AEB">
        <w:rPr>
          <w:sz w:val="24"/>
          <w:szCs w:val="24"/>
        </w:rPr>
        <w:t>can then be compared against and paired in complement with other renewable and electrification solutions.</w:t>
      </w:r>
    </w:p>
    <w:p w14:paraId="011FE9DB" w14:textId="1308A3F4" w:rsidR="002B1520" w:rsidRPr="001417EF" w:rsidRDefault="00E544C9" w:rsidP="002740D5">
      <w:pPr>
        <w:pStyle w:val="Heading2"/>
        <w:ind w:firstLine="360"/>
        <w:rPr>
          <w:sz w:val="28"/>
          <w:szCs w:val="28"/>
        </w:rPr>
      </w:pPr>
      <w:r w:rsidRPr="001417EF">
        <w:rPr>
          <w:sz w:val="28"/>
          <w:szCs w:val="28"/>
        </w:rPr>
        <w:t xml:space="preserve">Comments on </w:t>
      </w:r>
      <w:r w:rsidR="002B1520" w:rsidRPr="001417EF">
        <w:rPr>
          <w:sz w:val="28"/>
          <w:szCs w:val="28"/>
        </w:rPr>
        <w:t>Chapter 6 Achieving Climate Justice</w:t>
      </w:r>
    </w:p>
    <w:p w14:paraId="0265D000" w14:textId="62E5BF15" w:rsidR="00E8115D" w:rsidRPr="006A6AEB" w:rsidRDefault="00657D89" w:rsidP="002740D5">
      <w:pPr>
        <w:ind w:firstLine="360"/>
        <w:rPr>
          <w:sz w:val="24"/>
          <w:szCs w:val="24"/>
        </w:rPr>
      </w:pPr>
      <w:r>
        <w:rPr>
          <w:sz w:val="24"/>
          <w:szCs w:val="24"/>
        </w:rPr>
        <w:t>Low and Moderate Income (</w:t>
      </w:r>
      <w:r w:rsidR="00EA325A" w:rsidRPr="006A6AEB">
        <w:rPr>
          <w:sz w:val="24"/>
          <w:szCs w:val="24"/>
        </w:rPr>
        <w:t>LMI</w:t>
      </w:r>
      <w:r>
        <w:rPr>
          <w:sz w:val="24"/>
          <w:szCs w:val="24"/>
        </w:rPr>
        <w:t>)</w:t>
      </w:r>
      <w:r w:rsidR="00EA325A" w:rsidRPr="006A6AEB">
        <w:rPr>
          <w:sz w:val="24"/>
          <w:szCs w:val="24"/>
        </w:rPr>
        <w:t xml:space="preserve"> households and disadvantaged communities have the </w:t>
      </w:r>
      <w:r w:rsidR="00627D3E" w:rsidRPr="006A6AEB">
        <w:rPr>
          <w:sz w:val="24"/>
          <w:szCs w:val="24"/>
        </w:rPr>
        <w:t xml:space="preserve">greatest </w:t>
      </w:r>
      <w:r w:rsidR="00EA325A" w:rsidRPr="006A6AEB">
        <w:rPr>
          <w:sz w:val="24"/>
          <w:szCs w:val="24"/>
        </w:rPr>
        <w:t>need for infrastructure hardening to withstand the consequences of climate change.</w:t>
      </w:r>
      <w:r w:rsidR="00B41369" w:rsidRPr="006A6AEB">
        <w:rPr>
          <w:sz w:val="24"/>
          <w:szCs w:val="24"/>
        </w:rPr>
        <w:t xml:space="preserve"> </w:t>
      </w:r>
      <w:r w:rsidR="0003684E" w:rsidRPr="006A6AEB">
        <w:rPr>
          <w:sz w:val="24"/>
          <w:szCs w:val="24"/>
        </w:rPr>
        <w:t>From</w:t>
      </w:r>
      <w:r w:rsidR="00627D3E" w:rsidRPr="006A6AEB">
        <w:rPr>
          <w:sz w:val="24"/>
          <w:szCs w:val="24"/>
        </w:rPr>
        <w:t xml:space="preserve"> the recent past to the </w:t>
      </w:r>
      <w:r w:rsidR="00117A7E" w:rsidRPr="006A6AEB">
        <w:rPr>
          <w:sz w:val="24"/>
          <w:szCs w:val="24"/>
        </w:rPr>
        <w:t>present,</w:t>
      </w:r>
      <w:r w:rsidR="00627D3E" w:rsidRPr="006A6AEB">
        <w:rPr>
          <w:sz w:val="24"/>
          <w:szCs w:val="24"/>
        </w:rPr>
        <w:t xml:space="preserve"> </w:t>
      </w:r>
      <w:r w:rsidR="00E31465">
        <w:rPr>
          <w:sz w:val="24"/>
          <w:szCs w:val="24"/>
        </w:rPr>
        <w:t>NYCHA has</w:t>
      </w:r>
      <w:r w:rsidR="0003790B">
        <w:rPr>
          <w:sz w:val="24"/>
          <w:szCs w:val="24"/>
        </w:rPr>
        <w:t xml:space="preserve"> </w:t>
      </w:r>
      <w:r w:rsidR="00627D3E" w:rsidRPr="006A6AEB">
        <w:rPr>
          <w:sz w:val="24"/>
          <w:szCs w:val="24"/>
        </w:rPr>
        <w:t>witnessed numerous instances of heat and hot water outages affecting unacceptably large numbers of public housing residents.</w:t>
      </w:r>
      <w:r w:rsidR="007235AA" w:rsidRPr="006A6AEB">
        <w:rPr>
          <w:rStyle w:val="FootnoteReference"/>
          <w:sz w:val="24"/>
          <w:szCs w:val="24"/>
        </w:rPr>
        <w:footnoteReference w:id="9"/>
      </w:r>
      <w:r w:rsidR="00627D3E" w:rsidRPr="006A6AEB">
        <w:rPr>
          <w:sz w:val="24"/>
          <w:szCs w:val="24"/>
        </w:rPr>
        <w:t xml:space="preserve"> When disruptions in energy supply occur</w:t>
      </w:r>
      <w:r w:rsidR="00E31465">
        <w:rPr>
          <w:sz w:val="24"/>
          <w:szCs w:val="24"/>
        </w:rPr>
        <w:t>,</w:t>
      </w:r>
      <w:r w:rsidR="00627D3E" w:rsidRPr="006A6AEB">
        <w:rPr>
          <w:sz w:val="24"/>
          <w:szCs w:val="24"/>
        </w:rPr>
        <w:t xml:space="preserve"> these communities are affected in an acutely </w:t>
      </w:r>
      <w:r w:rsidR="0003684E" w:rsidRPr="006A6AEB">
        <w:rPr>
          <w:sz w:val="24"/>
          <w:szCs w:val="24"/>
        </w:rPr>
        <w:t>disproportionate</w:t>
      </w:r>
      <w:r w:rsidR="00627D3E" w:rsidRPr="006A6AEB">
        <w:rPr>
          <w:sz w:val="24"/>
          <w:szCs w:val="24"/>
        </w:rPr>
        <w:t xml:space="preserve"> manner. They are not readily able to flee to homes outside of the area or state. They do not have </w:t>
      </w:r>
      <w:r w:rsidR="00E8115D" w:rsidRPr="006A6AEB">
        <w:rPr>
          <w:sz w:val="24"/>
          <w:szCs w:val="24"/>
        </w:rPr>
        <w:t>excess disposable income to seek shelter in hotels or other accommodations</w:t>
      </w:r>
      <w:r w:rsidR="001417EF">
        <w:rPr>
          <w:sz w:val="24"/>
          <w:szCs w:val="24"/>
        </w:rPr>
        <w:t>.</w:t>
      </w:r>
    </w:p>
    <w:p w14:paraId="75F7858B" w14:textId="04103016" w:rsidR="00CC3D47" w:rsidRPr="006A6AEB" w:rsidRDefault="00EA325A" w:rsidP="002740D5">
      <w:pPr>
        <w:ind w:firstLine="360"/>
        <w:rPr>
          <w:sz w:val="24"/>
          <w:szCs w:val="24"/>
        </w:rPr>
      </w:pPr>
      <w:r w:rsidRPr="006A6AEB">
        <w:rPr>
          <w:sz w:val="24"/>
          <w:szCs w:val="24"/>
        </w:rPr>
        <w:lastRenderedPageBreak/>
        <w:t xml:space="preserve">This emphasizes the need for resilient housing and critical infrastructure, </w:t>
      </w:r>
      <w:r w:rsidR="00B219D0" w:rsidRPr="006A6AEB">
        <w:rPr>
          <w:sz w:val="24"/>
          <w:szCs w:val="24"/>
        </w:rPr>
        <w:t xml:space="preserve">and </w:t>
      </w:r>
      <w:r w:rsidR="00E8115D" w:rsidRPr="006A6AEB">
        <w:rPr>
          <w:sz w:val="24"/>
          <w:szCs w:val="24"/>
        </w:rPr>
        <w:t>solutions</w:t>
      </w:r>
      <w:r w:rsidRPr="006A6AEB">
        <w:rPr>
          <w:sz w:val="24"/>
          <w:szCs w:val="24"/>
        </w:rPr>
        <w:t xml:space="preserve"> such as CHP that provide power, heating, and cooling during outages </w:t>
      </w:r>
      <w:r w:rsidR="00E8115D" w:rsidRPr="006A6AEB">
        <w:rPr>
          <w:sz w:val="24"/>
          <w:szCs w:val="24"/>
        </w:rPr>
        <w:t xml:space="preserve">of extended duration. </w:t>
      </w:r>
      <w:r w:rsidR="00A53970">
        <w:rPr>
          <w:sz w:val="24"/>
          <w:szCs w:val="24"/>
        </w:rPr>
        <w:t>T</w:t>
      </w:r>
      <w:r w:rsidR="00CC3D47" w:rsidRPr="006A6AEB">
        <w:rPr>
          <w:sz w:val="24"/>
          <w:szCs w:val="24"/>
        </w:rPr>
        <w:t>he Draft Scoping Plan fully expects an increase in the frequency and severity of</w:t>
      </w:r>
      <w:r w:rsidR="000F280A">
        <w:rPr>
          <w:sz w:val="24"/>
          <w:szCs w:val="24"/>
        </w:rPr>
        <w:t xml:space="preserve"> </w:t>
      </w:r>
      <w:r w:rsidR="00CC3D47" w:rsidRPr="006A6AEB">
        <w:rPr>
          <w:sz w:val="24"/>
          <w:szCs w:val="24"/>
        </w:rPr>
        <w:t xml:space="preserve">climate </w:t>
      </w:r>
      <w:r w:rsidR="00117A7E" w:rsidRPr="006A6AEB">
        <w:rPr>
          <w:sz w:val="24"/>
          <w:szCs w:val="24"/>
        </w:rPr>
        <w:t>events;</w:t>
      </w:r>
      <w:r w:rsidR="00CC3D47" w:rsidRPr="006A6AEB">
        <w:rPr>
          <w:sz w:val="24"/>
          <w:szCs w:val="24"/>
        </w:rPr>
        <w:t xml:space="preserve"> </w:t>
      </w:r>
      <w:r w:rsidR="00A53970">
        <w:rPr>
          <w:sz w:val="24"/>
          <w:szCs w:val="24"/>
        </w:rPr>
        <w:t xml:space="preserve">therefore, </w:t>
      </w:r>
      <w:r w:rsidR="00E8115D" w:rsidRPr="006A6AEB">
        <w:rPr>
          <w:sz w:val="24"/>
          <w:szCs w:val="24"/>
        </w:rPr>
        <w:t xml:space="preserve">resilient </w:t>
      </w:r>
      <w:r w:rsidR="00CC3D47" w:rsidRPr="006A6AEB">
        <w:rPr>
          <w:sz w:val="24"/>
          <w:szCs w:val="24"/>
        </w:rPr>
        <w:t xml:space="preserve">energy </w:t>
      </w:r>
      <w:r w:rsidR="00E8115D" w:rsidRPr="006A6AEB">
        <w:rPr>
          <w:sz w:val="24"/>
          <w:szCs w:val="24"/>
        </w:rPr>
        <w:t xml:space="preserve">systems </w:t>
      </w:r>
      <w:r w:rsidR="00CC3D47" w:rsidRPr="006A6AEB">
        <w:rPr>
          <w:sz w:val="24"/>
          <w:szCs w:val="24"/>
        </w:rPr>
        <w:t>are providing a premium service.</w:t>
      </w:r>
      <w:r w:rsidR="00A53970">
        <w:rPr>
          <w:sz w:val="24"/>
          <w:szCs w:val="24"/>
        </w:rPr>
        <w:t xml:space="preserve"> </w:t>
      </w:r>
      <w:r w:rsidRPr="006A6AEB">
        <w:rPr>
          <w:sz w:val="24"/>
          <w:szCs w:val="24"/>
        </w:rPr>
        <w:t>LMI areas and disadvantaged communities, both rural and urban, are most likely to have older or inadequate electric infrastructure</w:t>
      </w:r>
      <w:r w:rsidR="00F41749" w:rsidRPr="006A6AEB">
        <w:rPr>
          <w:sz w:val="24"/>
          <w:szCs w:val="24"/>
        </w:rPr>
        <w:t xml:space="preserve">. </w:t>
      </w:r>
    </w:p>
    <w:p w14:paraId="09EFA16E" w14:textId="432EA273" w:rsidR="00F058AF" w:rsidRPr="00691389" w:rsidRDefault="001B4E3B" w:rsidP="002740D5">
      <w:pPr>
        <w:ind w:firstLine="360"/>
        <w:rPr>
          <w:sz w:val="28"/>
          <w:szCs w:val="28"/>
        </w:rPr>
      </w:pPr>
      <w:r w:rsidRPr="006A6AEB">
        <w:rPr>
          <w:sz w:val="24"/>
          <w:szCs w:val="24"/>
        </w:rPr>
        <w:t xml:space="preserve">Chapter 12 of the Draft Scoping Plan acknowledges the need for supplemental heat for certain applications of air-source heat pumps (ASHPs), most likely in the form of fossil fuels in the near-term. </w:t>
      </w:r>
      <w:r w:rsidR="001E699C" w:rsidRPr="006A6AEB">
        <w:rPr>
          <w:sz w:val="24"/>
          <w:szCs w:val="24"/>
        </w:rPr>
        <w:t>CHP</w:t>
      </w:r>
      <w:r w:rsidRPr="006A6AEB">
        <w:rPr>
          <w:sz w:val="24"/>
          <w:szCs w:val="24"/>
        </w:rPr>
        <w:t>, as it is the most efficient usage of fuels, and thus the lowest emitting option for the services it provides</w:t>
      </w:r>
      <w:r w:rsidR="00987F89">
        <w:rPr>
          <w:sz w:val="24"/>
          <w:szCs w:val="24"/>
        </w:rPr>
        <w:t xml:space="preserve"> can play a role here</w:t>
      </w:r>
      <w:r w:rsidR="006B309F" w:rsidRPr="006A6AEB">
        <w:rPr>
          <w:sz w:val="24"/>
          <w:szCs w:val="24"/>
        </w:rPr>
        <w:t>.</w:t>
      </w:r>
      <w:r w:rsidR="00B41369" w:rsidRPr="006A6AEB">
        <w:rPr>
          <w:sz w:val="24"/>
          <w:szCs w:val="24"/>
        </w:rPr>
        <w:t xml:space="preserve"> </w:t>
      </w:r>
      <w:r w:rsidR="006B309F" w:rsidRPr="006A6AEB">
        <w:rPr>
          <w:sz w:val="24"/>
          <w:szCs w:val="24"/>
        </w:rPr>
        <w:t xml:space="preserve">Where it is applicable, </w:t>
      </w:r>
      <w:r w:rsidRPr="006A6AEB">
        <w:rPr>
          <w:sz w:val="24"/>
          <w:szCs w:val="24"/>
        </w:rPr>
        <w:t>CHP is the most energy efficient method of providing supplemental heat</w:t>
      </w:r>
      <w:r w:rsidR="00217F27">
        <w:rPr>
          <w:sz w:val="24"/>
          <w:szCs w:val="24"/>
        </w:rPr>
        <w:t xml:space="preserve">. </w:t>
      </w:r>
      <w:r w:rsidR="003C73AF">
        <w:rPr>
          <w:sz w:val="24"/>
          <w:szCs w:val="24"/>
        </w:rPr>
        <w:t>O</w:t>
      </w:r>
      <w:r w:rsidR="001E3EED" w:rsidRPr="006A6AEB">
        <w:rPr>
          <w:sz w:val="24"/>
          <w:szCs w:val="24"/>
        </w:rPr>
        <w:t>n-site consumption of various forms of biogas and renewable natural gas</w:t>
      </w:r>
      <w:r w:rsidR="003C73AF">
        <w:rPr>
          <w:sz w:val="24"/>
          <w:szCs w:val="24"/>
        </w:rPr>
        <w:t xml:space="preserve"> is not experimental</w:t>
      </w:r>
      <w:r w:rsidR="00494922">
        <w:rPr>
          <w:sz w:val="24"/>
          <w:szCs w:val="24"/>
        </w:rPr>
        <w:t xml:space="preserve">, there are </w:t>
      </w:r>
      <w:r w:rsidR="00716FB2">
        <w:rPr>
          <w:sz w:val="24"/>
          <w:szCs w:val="24"/>
        </w:rPr>
        <w:t xml:space="preserve">nearly 800 sites in the United States </w:t>
      </w:r>
      <w:r w:rsidR="00494922">
        <w:rPr>
          <w:sz w:val="24"/>
          <w:szCs w:val="24"/>
        </w:rPr>
        <w:t xml:space="preserve">currently </w:t>
      </w:r>
      <w:r w:rsidR="00716FB2">
        <w:rPr>
          <w:sz w:val="24"/>
          <w:szCs w:val="24"/>
        </w:rPr>
        <w:t xml:space="preserve">using renewable based CHP </w:t>
      </w:r>
      <w:r w:rsidR="00987F89">
        <w:rPr>
          <w:sz w:val="24"/>
          <w:szCs w:val="24"/>
        </w:rPr>
        <w:t>per the U.S. DOE Installation Database</w:t>
      </w:r>
      <w:r w:rsidR="00494922">
        <w:rPr>
          <w:sz w:val="24"/>
          <w:szCs w:val="24"/>
        </w:rPr>
        <w:t>.</w:t>
      </w:r>
      <w:r w:rsidR="000F5C88">
        <w:rPr>
          <w:sz w:val="24"/>
          <w:szCs w:val="24"/>
        </w:rPr>
        <w:t xml:space="preserve"> </w:t>
      </w:r>
    </w:p>
    <w:p w14:paraId="10F364A0" w14:textId="076AC784" w:rsidR="00D9591C" w:rsidRPr="006A6AEB" w:rsidRDefault="00F8433F" w:rsidP="002740D5">
      <w:pPr>
        <w:ind w:firstLine="360"/>
        <w:rPr>
          <w:sz w:val="24"/>
          <w:szCs w:val="24"/>
        </w:rPr>
      </w:pPr>
      <w:r w:rsidRPr="006A6AEB">
        <w:rPr>
          <w:sz w:val="24"/>
          <w:szCs w:val="24"/>
        </w:rPr>
        <w:t xml:space="preserve">CHP is unparalleled in its ability to provide </w:t>
      </w:r>
      <w:r w:rsidR="00B348A8" w:rsidRPr="006A6AEB">
        <w:rPr>
          <w:sz w:val="24"/>
          <w:szCs w:val="24"/>
        </w:rPr>
        <w:t xml:space="preserve">both electric and thermal </w:t>
      </w:r>
      <w:r w:rsidRPr="006A6AEB">
        <w:rPr>
          <w:sz w:val="24"/>
          <w:szCs w:val="24"/>
        </w:rPr>
        <w:t>resiliency</w:t>
      </w:r>
      <w:r w:rsidR="009774A7" w:rsidRPr="006A6AEB">
        <w:rPr>
          <w:sz w:val="24"/>
          <w:szCs w:val="24"/>
        </w:rPr>
        <w:t xml:space="preserve"> </w:t>
      </w:r>
      <w:r w:rsidR="00EB5CB2" w:rsidRPr="006A6AEB">
        <w:rPr>
          <w:sz w:val="24"/>
          <w:szCs w:val="24"/>
        </w:rPr>
        <w:t>and can do so with</w:t>
      </w:r>
      <w:r w:rsidR="009F2D60" w:rsidRPr="006A6AEB">
        <w:rPr>
          <w:sz w:val="24"/>
          <w:szCs w:val="24"/>
        </w:rPr>
        <w:t xml:space="preserve"> </w:t>
      </w:r>
      <w:r w:rsidR="00B87CD3">
        <w:rPr>
          <w:sz w:val="24"/>
          <w:szCs w:val="24"/>
        </w:rPr>
        <w:t>low carbon</w:t>
      </w:r>
      <w:r w:rsidR="009F2D60" w:rsidRPr="006A6AEB">
        <w:rPr>
          <w:sz w:val="24"/>
          <w:szCs w:val="24"/>
        </w:rPr>
        <w:t xml:space="preserve"> fuels</w:t>
      </w:r>
      <w:r w:rsidR="00B348A8" w:rsidRPr="006A6AEB">
        <w:rPr>
          <w:sz w:val="24"/>
          <w:szCs w:val="24"/>
        </w:rPr>
        <w:t xml:space="preserve">. </w:t>
      </w:r>
      <w:r w:rsidR="00BF1878" w:rsidRPr="006A6AEB">
        <w:rPr>
          <w:sz w:val="24"/>
          <w:szCs w:val="24"/>
        </w:rPr>
        <w:t>CHP can provide electric and thermal relief during climate events</w:t>
      </w:r>
      <w:r w:rsidR="00C558D7" w:rsidRPr="006A6AEB">
        <w:rPr>
          <w:sz w:val="24"/>
          <w:szCs w:val="24"/>
        </w:rPr>
        <w:t xml:space="preserve">, supporting critical infrastructure like </w:t>
      </w:r>
      <w:r w:rsidR="00C37FC1" w:rsidRPr="006A6AEB">
        <w:rPr>
          <w:sz w:val="24"/>
          <w:szCs w:val="24"/>
        </w:rPr>
        <w:t xml:space="preserve">shelters and cool rooms, heated areas in the case of winter </w:t>
      </w:r>
      <w:r w:rsidR="002317E2" w:rsidRPr="006A6AEB">
        <w:rPr>
          <w:sz w:val="24"/>
          <w:szCs w:val="24"/>
        </w:rPr>
        <w:t xml:space="preserve">grid </w:t>
      </w:r>
      <w:r w:rsidR="00C37FC1" w:rsidRPr="006A6AEB">
        <w:rPr>
          <w:sz w:val="24"/>
          <w:szCs w:val="24"/>
        </w:rPr>
        <w:t xml:space="preserve">outages, </w:t>
      </w:r>
      <w:r w:rsidR="002317E2" w:rsidRPr="006A6AEB">
        <w:rPr>
          <w:sz w:val="24"/>
          <w:szCs w:val="24"/>
        </w:rPr>
        <w:t>and support for hosp</w:t>
      </w:r>
      <w:r w:rsidR="00EB5CB2" w:rsidRPr="006A6AEB">
        <w:rPr>
          <w:sz w:val="24"/>
          <w:szCs w:val="24"/>
        </w:rPr>
        <w:t>i</w:t>
      </w:r>
      <w:r w:rsidR="002317E2" w:rsidRPr="006A6AEB">
        <w:rPr>
          <w:sz w:val="24"/>
          <w:szCs w:val="24"/>
        </w:rPr>
        <w:t xml:space="preserve">tals and healthcare </w:t>
      </w:r>
      <w:r w:rsidR="00EB5CB2" w:rsidRPr="006A6AEB">
        <w:rPr>
          <w:sz w:val="24"/>
          <w:szCs w:val="24"/>
        </w:rPr>
        <w:t>providers</w:t>
      </w:r>
      <w:r w:rsidR="002317E2" w:rsidRPr="006A6AEB">
        <w:rPr>
          <w:sz w:val="24"/>
          <w:szCs w:val="24"/>
        </w:rPr>
        <w:t>.</w:t>
      </w:r>
      <w:r w:rsidR="00EB5CB2" w:rsidRPr="006A6AEB">
        <w:rPr>
          <w:sz w:val="24"/>
          <w:szCs w:val="24"/>
        </w:rPr>
        <w:t xml:space="preserve"> </w:t>
      </w:r>
      <w:r w:rsidR="009F2D60" w:rsidRPr="006A6AEB">
        <w:rPr>
          <w:sz w:val="24"/>
          <w:szCs w:val="24"/>
        </w:rPr>
        <w:t xml:space="preserve">During some climate events, as seen historically in the case of Superstorm Sandy, grid </w:t>
      </w:r>
      <w:r w:rsidR="0087717A" w:rsidRPr="006A6AEB">
        <w:rPr>
          <w:sz w:val="24"/>
          <w:szCs w:val="24"/>
        </w:rPr>
        <w:t xml:space="preserve">outages </w:t>
      </w:r>
      <w:r w:rsidR="009F2D60" w:rsidRPr="006A6AEB">
        <w:rPr>
          <w:sz w:val="24"/>
          <w:szCs w:val="24"/>
        </w:rPr>
        <w:t>could last for</w:t>
      </w:r>
      <w:r w:rsidR="0087717A" w:rsidRPr="006A6AEB">
        <w:rPr>
          <w:sz w:val="24"/>
          <w:szCs w:val="24"/>
        </w:rPr>
        <w:t xml:space="preserve"> </w:t>
      </w:r>
      <w:r w:rsidR="005F0A57" w:rsidRPr="006A6AEB">
        <w:rPr>
          <w:sz w:val="24"/>
          <w:szCs w:val="24"/>
        </w:rPr>
        <w:t xml:space="preserve">days or </w:t>
      </w:r>
      <w:r w:rsidR="0087717A" w:rsidRPr="006A6AEB">
        <w:rPr>
          <w:sz w:val="24"/>
          <w:szCs w:val="24"/>
        </w:rPr>
        <w:t>weeks, not hours.</w:t>
      </w:r>
      <w:r w:rsidR="005F0A57" w:rsidRPr="006A6AEB">
        <w:rPr>
          <w:sz w:val="24"/>
          <w:szCs w:val="24"/>
        </w:rPr>
        <w:t xml:space="preserve"> </w:t>
      </w:r>
    </w:p>
    <w:p w14:paraId="325D3EED" w14:textId="6C4DE9FC" w:rsidR="00E87DD6" w:rsidRDefault="00E87DD6" w:rsidP="002740D5">
      <w:pPr>
        <w:pStyle w:val="Heading2"/>
        <w:ind w:firstLine="360"/>
      </w:pPr>
      <w:r>
        <w:t>Resilience Benefits of CHP</w:t>
      </w:r>
      <w:r w:rsidR="0089340C">
        <w:rPr>
          <w:rStyle w:val="FootnoteReference"/>
        </w:rPr>
        <w:footnoteReference w:id="10"/>
      </w:r>
    </w:p>
    <w:tbl>
      <w:tblPr>
        <w:tblStyle w:val="TableGrid"/>
        <w:tblW w:w="9294" w:type="dxa"/>
        <w:tblInd w:w="64" w:type="dxa"/>
        <w:tblCellMar>
          <w:top w:w="108" w:type="dxa"/>
          <w:left w:w="84" w:type="dxa"/>
          <w:right w:w="115" w:type="dxa"/>
        </w:tblCellMar>
        <w:tblLook w:val="04A0" w:firstRow="1" w:lastRow="0" w:firstColumn="1" w:lastColumn="0" w:noHBand="0" w:noVBand="1"/>
      </w:tblPr>
      <w:tblGrid>
        <w:gridCol w:w="2834"/>
        <w:gridCol w:w="397"/>
        <w:gridCol w:w="2833"/>
        <w:gridCol w:w="397"/>
        <w:gridCol w:w="2833"/>
      </w:tblGrid>
      <w:tr w:rsidR="00E87DD6" w14:paraId="416B4101" w14:textId="77777777" w:rsidTr="00B43451">
        <w:trPr>
          <w:trHeight w:val="499"/>
        </w:trPr>
        <w:tc>
          <w:tcPr>
            <w:tcW w:w="2834" w:type="dxa"/>
            <w:tcBorders>
              <w:top w:val="single" w:sz="16" w:space="0" w:color="6ABC45"/>
              <w:left w:val="single" w:sz="16" w:space="0" w:color="6ABC45"/>
              <w:bottom w:val="single" w:sz="16" w:space="0" w:color="D4E7CF"/>
              <w:right w:val="single" w:sz="16" w:space="0" w:color="6ABC45"/>
            </w:tcBorders>
            <w:shd w:val="clear" w:color="auto" w:fill="6ABC45"/>
            <w:vAlign w:val="center"/>
          </w:tcPr>
          <w:p w14:paraId="4CDCE7BF" w14:textId="77777777" w:rsidR="00E87DD6" w:rsidRDefault="00E87DD6" w:rsidP="002740D5">
            <w:pPr>
              <w:spacing w:line="259" w:lineRule="auto"/>
              <w:ind w:left="31" w:firstLine="360"/>
              <w:jc w:val="center"/>
            </w:pPr>
            <w:r>
              <w:rPr>
                <w:rFonts w:ascii="Franklin Gothic" w:eastAsia="Franklin Gothic" w:hAnsi="Franklin Gothic" w:cs="Franklin Gothic"/>
                <w:color w:val="FFFFFF"/>
              </w:rPr>
              <w:t>End Users</w:t>
            </w:r>
          </w:p>
        </w:tc>
        <w:tc>
          <w:tcPr>
            <w:tcW w:w="397" w:type="dxa"/>
            <w:vMerge w:val="restart"/>
            <w:tcBorders>
              <w:top w:val="nil"/>
              <w:left w:val="single" w:sz="16" w:space="0" w:color="D4E7CF"/>
              <w:bottom w:val="nil"/>
              <w:right w:val="single" w:sz="16" w:space="0" w:color="D4E7CF"/>
            </w:tcBorders>
          </w:tcPr>
          <w:p w14:paraId="51B378FB" w14:textId="77777777" w:rsidR="00E87DD6" w:rsidRDefault="00E87DD6" w:rsidP="002740D5">
            <w:pPr>
              <w:spacing w:after="160" w:line="259" w:lineRule="auto"/>
              <w:ind w:firstLine="360"/>
            </w:pPr>
          </w:p>
        </w:tc>
        <w:tc>
          <w:tcPr>
            <w:tcW w:w="2833" w:type="dxa"/>
            <w:tcBorders>
              <w:top w:val="single" w:sz="16" w:space="0" w:color="6ABC45"/>
              <w:left w:val="single" w:sz="16" w:space="0" w:color="6ABC45"/>
              <w:bottom w:val="single" w:sz="16" w:space="0" w:color="D4E7CF"/>
              <w:right w:val="single" w:sz="16" w:space="0" w:color="6ABC45"/>
            </w:tcBorders>
            <w:shd w:val="clear" w:color="auto" w:fill="6ABC45"/>
            <w:vAlign w:val="center"/>
          </w:tcPr>
          <w:p w14:paraId="6D3512EB" w14:textId="77777777" w:rsidR="00E87DD6" w:rsidRDefault="00E87DD6" w:rsidP="002740D5">
            <w:pPr>
              <w:spacing w:line="259" w:lineRule="auto"/>
              <w:ind w:left="30" w:firstLine="360"/>
              <w:jc w:val="center"/>
            </w:pPr>
            <w:r>
              <w:rPr>
                <w:rFonts w:ascii="Franklin Gothic" w:eastAsia="Franklin Gothic" w:hAnsi="Franklin Gothic" w:cs="Franklin Gothic"/>
                <w:color w:val="FFFFFF"/>
              </w:rPr>
              <w:t>Utilities</w:t>
            </w:r>
          </w:p>
        </w:tc>
        <w:tc>
          <w:tcPr>
            <w:tcW w:w="397" w:type="dxa"/>
            <w:vMerge w:val="restart"/>
            <w:tcBorders>
              <w:top w:val="nil"/>
              <w:left w:val="single" w:sz="16" w:space="0" w:color="D4E7CF"/>
              <w:bottom w:val="nil"/>
              <w:right w:val="single" w:sz="16" w:space="0" w:color="D4E7CF"/>
            </w:tcBorders>
          </w:tcPr>
          <w:p w14:paraId="2823A421" w14:textId="77777777" w:rsidR="00E87DD6" w:rsidRDefault="00E87DD6" w:rsidP="002740D5">
            <w:pPr>
              <w:spacing w:after="160" w:line="259" w:lineRule="auto"/>
              <w:ind w:firstLine="360"/>
            </w:pPr>
          </w:p>
        </w:tc>
        <w:tc>
          <w:tcPr>
            <w:tcW w:w="2833" w:type="dxa"/>
            <w:tcBorders>
              <w:top w:val="single" w:sz="16" w:space="0" w:color="6ABC45"/>
              <w:left w:val="single" w:sz="16" w:space="0" w:color="6ABC45"/>
              <w:bottom w:val="single" w:sz="16" w:space="0" w:color="D4E7CF"/>
              <w:right w:val="single" w:sz="16" w:space="0" w:color="6ABC45"/>
            </w:tcBorders>
            <w:shd w:val="clear" w:color="auto" w:fill="6ABC45"/>
            <w:vAlign w:val="center"/>
          </w:tcPr>
          <w:p w14:paraId="7A5C490C" w14:textId="77777777" w:rsidR="00E87DD6" w:rsidRDefault="00E87DD6" w:rsidP="002740D5">
            <w:pPr>
              <w:spacing w:line="259" w:lineRule="auto"/>
              <w:ind w:left="31" w:firstLine="360"/>
              <w:jc w:val="center"/>
            </w:pPr>
            <w:r>
              <w:rPr>
                <w:rFonts w:ascii="Franklin Gothic" w:eastAsia="Franklin Gothic" w:hAnsi="Franklin Gothic" w:cs="Franklin Gothic"/>
                <w:color w:val="FFFFFF"/>
              </w:rPr>
              <w:t>Communities</w:t>
            </w:r>
          </w:p>
        </w:tc>
      </w:tr>
      <w:tr w:rsidR="00E87DD6" w14:paraId="3798CEF7" w14:textId="77777777" w:rsidTr="00B43451">
        <w:trPr>
          <w:trHeight w:val="2378"/>
        </w:trPr>
        <w:tc>
          <w:tcPr>
            <w:tcW w:w="2834" w:type="dxa"/>
            <w:tcBorders>
              <w:top w:val="single" w:sz="16" w:space="0" w:color="D4E7CF"/>
              <w:left w:val="single" w:sz="16" w:space="0" w:color="D4E7CF"/>
              <w:bottom w:val="single" w:sz="16" w:space="0" w:color="D4E7CF"/>
              <w:right w:val="single" w:sz="16" w:space="0" w:color="D4E7CF"/>
            </w:tcBorders>
            <w:shd w:val="clear" w:color="auto" w:fill="D4E7CF"/>
            <w:vAlign w:val="center"/>
          </w:tcPr>
          <w:p w14:paraId="4AA98FB7" w14:textId="77777777" w:rsidR="00E87DD6" w:rsidRDefault="00E87DD6" w:rsidP="002740D5">
            <w:pPr>
              <w:spacing w:after="34" w:line="216" w:lineRule="auto"/>
              <w:ind w:left="90" w:right="24" w:firstLine="360"/>
            </w:pPr>
            <w:r>
              <w:rPr>
                <w:sz w:val="20"/>
              </w:rPr>
              <w:t>•Provides a continuous supply of electricity and thermal energy for critical loads</w:t>
            </w:r>
          </w:p>
          <w:p w14:paraId="65FB3CD7" w14:textId="77777777" w:rsidR="00E87DD6" w:rsidRDefault="00E87DD6" w:rsidP="002740D5">
            <w:pPr>
              <w:spacing w:line="216" w:lineRule="auto"/>
              <w:ind w:left="90" w:firstLine="360"/>
            </w:pPr>
            <w:r>
              <w:rPr>
                <w:sz w:val="20"/>
              </w:rPr>
              <w:t>•Can be configured to switch automatically to “island mode” during a utility outage and to</w:t>
            </w:r>
          </w:p>
          <w:p w14:paraId="7259EA61" w14:textId="77777777" w:rsidR="00E87DD6" w:rsidRDefault="00E87DD6" w:rsidP="002740D5">
            <w:pPr>
              <w:spacing w:after="32" w:line="216" w:lineRule="auto"/>
              <w:ind w:left="90" w:right="3" w:firstLine="360"/>
            </w:pPr>
            <w:r>
              <w:rPr>
                <w:sz w:val="20"/>
              </w:rPr>
              <w:t>“</w:t>
            </w:r>
            <w:proofErr w:type="gramStart"/>
            <w:r>
              <w:rPr>
                <w:sz w:val="20"/>
              </w:rPr>
              <w:t>black</w:t>
            </w:r>
            <w:proofErr w:type="gramEnd"/>
            <w:r>
              <w:rPr>
                <w:sz w:val="20"/>
              </w:rPr>
              <w:t xml:space="preserve"> start” without grid power</w:t>
            </w:r>
          </w:p>
          <w:p w14:paraId="7E81891D" w14:textId="77777777" w:rsidR="00E87DD6" w:rsidRDefault="00E87DD6" w:rsidP="002740D5">
            <w:pPr>
              <w:spacing w:line="259" w:lineRule="auto"/>
              <w:ind w:left="90" w:firstLine="360"/>
            </w:pPr>
            <w:r>
              <w:rPr>
                <w:sz w:val="20"/>
              </w:rPr>
              <w:t>•Can withstand long, multiday outages</w:t>
            </w:r>
          </w:p>
        </w:tc>
        <w:tc>
          <w:tcPr>
            <w:tcW w:w="0" w:type="auto"/>
            <w:vMerge/>
            <w:tcBorders>
              <w:top w:val="nil"/>
              <w:left w:val="single" w:sz="16" w:space="0" w:color="D4E7CF"/>
              <w:bottom w:val="nil"/>
              <w:right w:val="single" w:sz="16" w:space="0" w:color="D4E7CF"/>
            </w:tcBorders>
          </w:tcPr>
          <w:p w14:paraId="4A7623BB" w14:textId="77777777" w:rsidR="00E87DD6" w:rsidRDefault="00E87DD6" w:rsidP="002740D5">
            <w:pPr>
              <w:spacing w:after="160" w:line="259" w:lineRule="auto"/>
              <w:ind w:firstLine="360"/>
            </w:pPr>
          </w:p>
        </w:tc>
        <w:tc>
          <w:tcPr>
            <w:tcW w:w="2833" w:type="dxa"/>
            <w:tcBorders>
              <w:top w:val="single" w:sz="16" w:space="0" w:color="D4E7CF"/>
              <w:left w:val="single" w:sz="16" w:space="0" w:color="D4E7CF"/>
              <w:bottom w:val="single" w:sz="16" w:space="0" w:color="D4E7CF"/>
              <w:right w:val="single" w:sz="16" w:space="0" w:color="D4E7CF"/>
            </w:tcBorders>
            <w:shd w:val="clear" w:color="auto" w:fill="D4E7CF"/>
          </w:tcPr>
          <w:p w14:paraId="3145A310" w14:textId="77777777" w:rsidR="00E87DD6" w:rsidRDefault="00E87DD6" w:rsidP="002740D5">
            <w:pPr>
              <w:spacing w:after="57" w:line="216" w:lineRule="auto"/>
              <w:ind w:left="90" w:firstLine="360"/>
            </w:pPr>
            <w:r>
              <w:rPr>
                <w:sz w:val="20"/>
              </w:rPr>
              <w:t>•Enhances grid stability and relieves grid congestion</w:t>
            </w:r>
          </w:p>
          <w:p w14:paraId="578D6664" w14:textId="77777777" w:rsidR="00E87DD6" w:rsidRDefault="00E87DD6" w:rsidP="002740D5">
            <w:pPr>
              <w:spacing w:line="259" w:lineRule="auto"/>
              <w:ind w:left="90" w:firstLine="360"/>
            </w:pPr>
            <w:r>
              <w:rPr>
                <w:sz w:val="20"/>
              </w:rPr>
              <w:t>•Enables microgrid deployment for balancing renewable power and providing a diverse generation mix</w:t>
            </w:r>
          </w:p>
        </w:tc>
        <w:tc>
          <w:tcPr>
            <w:tcW w:w="0" w:type="auto"/>
            <w:vMerge/>
            <w:tcBorders>
              <w:top w:val="nil"/>
              <w:left w:val="single" w:sz="16" w:space="0" w:color="D4E7CF"/>
              <w:bottom w:val="nil"/>
              <w:right w:val="single" w:sz="16" w:space="0" w:color="D4E7CF"/>
            </w:tcBorders>
          </w:tcPr>
          <w:p w14:paraId="669DF267" w14:textId="77777777" w:rsidR="00E87DD6" w:rsidRDefault="00E87DD6" w:rsidP="002740D5">
            <w:pPr>
              <w:spacing w:after="160" w:line="259" w:lineRule="auto"/>
              <w:ind w:firstLine="360"/>
            </w:pPr>
          </w:p>
        </w:tc>
        <w:tc>
          <w:tcPr>
            <w:tcW w:w="2833" w:type="dxa"/>
            <w:tcBorders>
              <w:top w:val="single" w:sz="16" w:space="0" w:color="D4E7CF"/>
              <w:left w:val="single" w:sz="16" w:space="0" w:color="D4E7CF"/>
              <w:bottom w:val="single" w:sz="16" w:space="0" w:color="D4E7CF"/>
              <w:right w:val="single" w:sz="16" w:space="0" w:color="D4E7CF"/>
            </w:tcBorders>
            <w:shd w:val="clear" w:color="auto" w:fill="D4E7CF"/>
          </w:tcPr>
          <w:p w14:paraId="54693EB8" w14:textId="77777777" w:rsidR="00E87DD6" w:rsidRDefault="00E87DD6" w:rsidP="002740D5">
            <w:pPr>
              <w:spacing w:after="32" w:line="216" w:lineRule="auto"/>
              <w:ind w:left="90" w:firstLine="360"/>
            </w:pPr>
            <w:r>
              <w:rPr>
                <w:sz w:val="20"/>
              </w:rPr>
              <w:t>•Ensures critical facilities such as hospitals and emergency services remain operating and responsive to community needs</w:t>
            </w:r>
          </w:p>
          <w:p w14:paraId="649808DC" w14:textId="77777777" w:rsidR="00E87DD6" w:rsidRDefault="00E87DD6" w:rsidP="002740D5">
            <w:pPr>
              <w:spacing w:line="259" w:lineRule="auto"/>
              <w:ind w:left="90" w:firstLine="360"/>
            </w:pPr>
            <w:r>
              <w:rPr>
                <w:sz w:val="20"/>
              </w:rPr>
              <w:t>•Allows areas of refuge to operate during grid outages to provide shelter-in-place opportunities for those in need</w:t>
            </w:r>
          </w:p>
        </w:tc>
      </w:tr>
    </w:tbl>
    <w:p w14:paraId="7C48BAE9" w14:textId="77777777" w:rsidR="00E87DD6" w:rsidRDefault="00E87DD6" w:rsidP="002740D5">
      <w:pPr>
        <w:ind w:firstLine="360"/>
      </w:pPr>
    </w:p>
    <w:p w14:paraId="3EF94DBC" w14:textId="77777777" w:rsidR="00192A20" w:rsidRDefault="00192A20" w:rsidP="002740D5">
      <w:pPr>
        <w:pBdr>
          <w:top w:val="single" w:sz="6" w:space="1" w:color="auto"/>
          <w:left w:val="single" w:sz="6" w:space="4" w:color="auto"/>
          <w:bottom w:val="single" w:sz="6" w:space="1" w:color="auto"/>
          <w:right w:val="single" w:sz="6" w:space="4" w:color="auto"/>
        </w:pBdr>
        <w:ind w:firstLine="360"/>
      </w:pPr>
      <w:r w:rsidRPr="005B5DEE">
        <w:t>CHP MICROGRIDS DELIVERY RESILIENT POWER TO CRITICAL FACILITIES</w:t>
      </w:r>
    </w:p>
    <w:p w14:paraId="6F2B9E0F" w14:textId="6A9D81BC" w:rsidR="00192A20" w:rsidRPr="0063122A" w:rsidRDefault="00192A20" w:rsidP="002740D5">
      <w:pPr>
        <w:pStyle w:val="Default"/>
        <w:pBdr>
          <w:top w:val="single" w:sz="6" w:space="1" w:color="auto"/>
          <w:left w:val="single" w:sz="6" w:space="4" w:color="auto"/>
          <w:bottom w:val="single" w:sz="6" w:space="1" w:color="auto"/>
          <w:right w:val="single" w:sz="6" w:space="4" w:color="auto"/>
        </w:pBdr>
        <w:ind w:firstLine="360"/>
        <w:rPr>
          <w:rFonts w:asciiTheme="minorHAnsi" w:hAnsiTheme="minorHAnsi" w:cstheme="minorHAnsi"/>
        </w:rPr>
      </w:pPr>
      <w:r w:rsidRPr="0063122A">
        <w:rPr>
          <w:rFonts w:asciiTheme="minorHAnsi" w:hAnsiTheme="minorHAnsi" w:cstheme="minorHAnsi"/>
        </w:rPr>
        <w:t xml:space="preserve">After Fairfield, Connecticut suffered significant energy outages during Superstorm Sandy, the town invested in a CHP-based microgrid supporting its critical facilities. </w:t>
      </w:r>
      <w:r w:rsidR="0063122A">
        <w:rPr>
          <w:rFonts w:asciiTheme="minorHAnsi" w:hAnsiTheme="minorHAnsi" w:cstheme="minorHAnsi"/>
        </w:rPr>
        <w:t xml:space="preserve"> </w:t>
      </w:r>
      <w:r w:rsidRPr="0063122A">
        <w:rPr>
          <w:rFonts w:asciiTheme="minorHAnsi" w:hAnsiTheme="minorHAnsi" w:cstheme="minorHAnsi"/>
        </w:rPr>
        <w:t xml:space="preserve">The microgrid features a </w:t>
      </w:r>
      <w:r w:rsidR="00117A7E" w:rsidRPr="0063122A">
        <w:rPr>
          <w:rFonts w:asciiTheme="minorHAnsi" w:hAnsiTheme="minorHAnsi" w:cstheme="minorHAnsi"/>
        </w:rPr>
        <w:t>300-kW</w:t>
      </w:r>
      <w:r w:rsidRPr="0063122A">
        <w:rPr>
          <w:rFonts w:asciiTheme="minorHAnsi" w:hAnsiTheme="minorHAnsi" w:cstheme="minorHAnsi"/>
        </w:rPr>
        <w:t xml:space="preserve"> natural gas-fired generator, 47 kW of solar PV, and a </w:t>
      </w:r>
      <w:r w:rsidR="00AD386F" w:rsidRPr="0063122A">
        <w:rPr>
          <w:rFonts w:asciiTheme="minorHAnsi" w:hAnsiTheme="minorHAnsi" w:cstheme="minorHAnsi"/>
        </w:rPr>
        <w:t>60-kW</w:t>
      </w:r>
      <w:r w:rsidRPr="0063122A">
        <w:rPr>
          <w:rFonts w:asciiTheme="minorHAnsi" w:hAnsiTheme="minorHAnsi" w:cstheme="minorHAnsi"/>
        </w:rPr>
        <w:t xml:space="preserve"> natural gas-fired CHP reciprocating engine as the microgrid anchor. It serves the fire station, police station, an emergency communications center, a public shelter, and a cell phone tower. </w:t>
      </w:r>
    </w:p>
    <w:p w14:paraId="775B8847" w14:textId="77777777" w:rsidR="00192A20" w:rsidRPr="0063122A" w:rsidRDefault="00192A20" w:rsidP="002740D5">
      <w:pPr>
        <w:pBdr>
          <w:top w:val="single" w:sz="6" w:space="1" w:color="auto"/>
          <w:left w:val="single" w:sz="6" w:space="4" w:color="auto"/>
          <w:bottom w:val="single" w:sz="6" w:space="1" w:color="auto"/>
          <w:right w:val="single" w:sz="6" w:space="4" w:color="auto"/>
        </w:pBdr>
        <w:ind w:firstLine="360"/>
        <w:rPr>
          <w:rFonts w:cstheme="minorHAnsi"/>
          <w:sz w:val="24"/>
          <w:szCs w:val="24"/>
        </w:rPr>
      </w:pPr>
      <w:r w:rsidRPr="0063122A">
        <w:rPr>
          <w:rFonts w:cstheme="minorHAnsi"/>
          <w:i/>
          <w:iCs/>
          <w:sz w:val="24"/>
          <w:szCs w:val="24"/>
        </w:rPr>
        <w:t xml:space="preserve">Source: U.S. Department of Energy - Better Buildings Initiative, Distributed Generation (DG) for Resilience Planning Guide (January 2019). </w:t>
      </w:r>
    </w:p>
    <w:p w14:paraId="10E75F35" w14:textId="15BCAA0B" w:rsidR="005E3FAD" w:rsidRPr="006A6AEB" w:rsidRDefault="005E3FAD" w:rsidP="002740D5">
      <w:pPr>
        <w:tabs>
          <w:tab w:val="left" w:pos="1020"/>
        </w:tabs>
        <w:ind w:firstLine="360"/>
        <w:rPr>
          <w:sz w:val="24"/>
          <w:szCs w:val="24"/>
        </w:rPr>
      </w:pPr>
      <w:r w:rsidRPr="006A6AEB">
        <w:rPr>
          <w:sz w:val="24"/>
          <w:szCs w:val="24"/>
        </w:rPr>
        <w:t xml:space="preserve">Modern CHP systems </w:t>
      </w:r>
      <w:proofErr w:type="gramStart"/>
      <w:r w:rsidRPr="006A6AEB">
        <w:rPr>
          <w:sz w:val="24"/>
          <w:szCs w:val="24"/>
        </w:rPr>
        <w:t>are capable of acting</w:t>
      </w:r>
      <w:proofErr w:type="gramEnd"/>
      <w:r w:rsidRPr="006A6AEB">
        <w:rPr>
          <w:sz w:val="24"/>
          <w:szCs w:val="24"/>
        </w:rPr>
        <w:t xml:space="preserve"> as a more flexible resource, offering key grid-supporting services needed to maintain operations and help balance the distribution system. CHP’s ability to defer or </w:t>
      </w:r>
      <w:r w:rsidRPr="006A6AEB">
        <w:rPr>
          <w:sz w:val="24"/>
          <w:szCs w:val="24"/>
        </w:rPr>
        <w:lastRenderedPageBreak/>
        <w:t>avoid the need for substation or switchgear investments, provide back-up power, deliver black start capability, or offer other ancillary services are additional features</w:t>
      </w:r>
      <w:r w:rsidR="005852AF">
        <w:rPr>
          <w:sz w:val="24"/>
          <w:szCs w:val="24"/>
        </w:rPr>
        <w:t>.</w:t>
      </w:r>
      <w:r w:rsidRPr="006A6AEB">
        <w:rPr>
          <w:rStyle w:val="FootnoteReference"/>
          <w:sz w:val="24"/>
          <w:szCs w:val="24"/>
        </w:rPr>
        <w:footnoteReference w:id="11"/>
      </w:r>
      <w:r w:rsidR="0034267A">
        <w:rPr>
          <w:sz w:val="24"/>
          <w:szCs w:val="24"/>
        </w:rPr>
        <w:t xml:space="preserve">  CHP, appropriately sited, designed and configured, can provide a suite of valuable grid services. Insofar as CHP can deliver multiple value streams, it can be an important asset</w:t>
      </w:r>
      <w:r w:rsidR="00764628">
        <w:rPr>
          <w:sz w:val="24"/>
          <w:szCs w:val="24"/>
        </w:rPr>
        <w:t xml:space="preserve"> in keeping power and energy costs affordable.</w:t>
      </w:r>
    </w:p>
    <w:p w14:paraId="713C9532" w14:textId="5A05B26F" w:rsidR="00EC00FB" w:rsidRPr="000750B8" w:rsidRDefault="00E544C9" w:rsidP="002740D5">
      <w:pPr>
        <w:pStyle w:val="Heading2"/>
        <w:ind w:firstLine="360"/>
        <w:rPr>
          <w:sz w:val="28"/>
          <w:szCs w:val="28"/>
        </w:rPr>
      </w:pPr>
      <w:r>
        <w:rPr>
          <w:sz w:val="28"/>
          <w:szCs w:val="28"/>
        </w:rPr>
        <w:t xml:space="preserve">Comments on </w:t>
      </w:r>
      <w:r w:rsidR="00ED331D" w:rsidRPr="000750B8">
        <w:rPr>
          <w:sz w:val="28"/>
          <w:szCs w:val="28"/>
        </w:rPr>
        <w:t>Chapter 12 Buildings</w:t>
      </w:r>
    </w:p>
    <w:p w14:paraId="58235734" w14:textId="11C23952" w:rsidR="00042480" w:rsidRPr="006A6AEB" w:rsidRDefault="003D0037" w:rsidP="002740D5">
      <w:pPr>
        <w:ind w:firstLine="360"/>
        <w:rPr>
          <w:sz w:val="24"/>
          <w:szCs w:val="24"/>
        </w:rPr>
      </w:pPr>
      <w:r w:rsidRPr="006A6AEB">
        <w:rPr>
          <w:sz w:val="24"/>
          <w:szCs w:val="24"/>
        </w:rPr>
        <w:t xml:space="preserve">Chapter 12 states </w:t>
      </w:r>
      <w:r w:rsidRPr="00A10CD1">
        <w:rPr>
          <w:sz w:val="24"/>
          <w:szCs w:val="24"/>
        </w:rPr>
        <w:t xml:space="preserve">that </w:t>
      </w:r>
      <w:r w:rsidRPr="00A10CD1">
        <w:rPr>
          <w:i/>
          <w:iCs/>
          <w:sz w:val="24"/>
          <w:szCs w:val="24"/>
        </w:rPr>
        <w:t>“Larger multifamily, mixed-use, or complex commercial buildings that are concentrated downstate also may use supplemental heat (likely gas) for peak cold conditions, with a plan to phase it out over time as technology develops.”</w:t>
      </w:r>
      <w:r w:rsidR="00ED75C9">
        <w:rPr>
          <w:rStyle w:val="FootnoteReference"/>
          <w:i/>
          <w:iCs/>
          <w:sz w:val="24"/>
          <w:szCs w:val="24"/>
        </w:rPr>
        <w:footnoteReference w:id="12"/>
      </w:r>
      <w:r w:rsidR="00B502BF">
        <w:rPr>
          <w:i/>
          <w:iCs/>
          <w:sz w:val="24"/>
          <w:szCs w:val="24"/>
        </w:rPr>
        <w:t>.</w:t>
      </w:r>
      <w:r w:rsidRPr="006A6AEB">
        <w:rPr>
          <w:i/>
          <w:iCs/>
          <w:sz w:val="24"/>
          <w:szCs w:val="24"/>
        </w:rPr>
        <w:t xml:space="preserve"> </w:t>
      </w:r>
      <w:r w:rsidR="005237DD" w:rsidRPr="006A6AEB">
        <w:rPr>
          <w:sz w:val="24"/>
          <w:szCs w:val="24"/>
        </w:rPr>
        <w:t>CHP provides</w:t>
      </w:r>
      <w:r w:rsidR="005237DD" w:rsidRPr="000750B8">
        <w:rPr>
          <w:sz w:val="28"/>
          <w:szCs w:val="28"/>
        </w:rPr>
        <w:t xml:space="preserve"> </w:t>
      </w:r>
      <w:r w:rsidR="005237DD" w:rsidRPr="006A6AEB">
        <w:rPr>
          <w:sz w:val="24"/>
          <w:szCs w:val="24"/>
        </w:rPr>
        <w:t xml:space="preserve">the </w:t>
      </w:r>
      <w:r w:rsidR="00B04CE5" w:rsidRPr="006A6AEB">
        <w:rPr>
          <w:sz w:val="24"/>
          <w:szCs w:val="24"/>
        </w:rPr>
        <w:t xml:space="preserve">most-efficient method of providing supplemental heat to </w:t>
      </w:r>
      <w:r w:rsidR="0023178D" w:rsidRPr="006A6AEB">
        <w:rPr>
          <w:sz w:val="24"/>
          <w:szCs w:val="24"/>
        </w:rPr>
        <w:t>ASHP</w:t>
      </w:r>
      <w:r w:rsidR="00B04CE5" w:rsidRPr="006A6AEB">
        <w:rPr>
          <w:sz w:val="24"/>
          <w:szCs w:val="24"/>
        </w:rPr>
        <w:t>s</w:t>
      </w:r>
      <w:r w:rsidR="008E2970" w:rsidRPr="006A6AEB">
        <w:rPr>
          <w:sz w:val="24"/>
          <w:szCs w:val="24"/>
        </w:rPr>
        <w:t xml:space="preserve">, whether fueled by natural gas or </w:t>
      </w:r>
      <w:r w:rsidR="00B87CD3">
        <w:rPr>
          <w:sz w:val="24"/>
          <w:szCs w:val="24"/>
        </w:rPr>
        <w:t>low carbon</w:t>
      </w:r>
      <w:r w:rsidR="008E2970" w:rsidRPr="006A6AEB">
        <w:rPr>
          <w:sz w:val="24"/>
          <w:szCs w:val="24"/>
        </w:rPr>
        <w:t xml:space="preserve"> fuels. As </w:t>
      </w:r>
      <w:r w:rsidR="00B87CD3">
        <w:rPr>
          <w:sz w:val="24"/>
          <w:szCs w:val="24"/>
        </w:rPr>
        <w:t>low carbon</w:t>
      </w:r>
      <w:r w:rsidR="008E2970" w:rsidRPr="006A6AEB">
        <w:rPr>
          <w:sz w:val="24"/>
          <w:szCs w:val="24"/>
        </w:rPr>
        <w:t xml:space="preserve"> fuels become available, CHP can readily transition to them</w:t>
      </w:r>
      <w:r w:rsidR="002E5E4C" w:rsidRPr="006A6AEB">
        <w:rPr>
          <w:sz w:val="24"/>
          <w:szCs w:val="24"/>
        </w:rPr>
        <w:t xml:space="preserve">. </w:t>
      </w:r>
      <w:r w:rsidR="00042480" w:rsidRPr="006A6AEB">
        <w:rPr>
          <w:sz w:val="24"/>
          <w:szCs w:val="24"/>
        </w:rPr>
        <w:t>District thermal loops, with ASHPs or geothermal</w:t>
      </w:r>
      <w:r w:rsidR="00850CD8" w:rsidRPr="006A6AEB">
        <w:rPr>
          <w:sz w:val="24"/>
          <w:szCs w:val="24"/>
        </w:rPr>
        <w:t xml:space="preserve"> loops, may also need supplemental heat on the coldest days in the winter, and CHP can provide the same benefits in that application as well.</w:t>
      </w:r>
    </w:p>
    <w:p w14:paraId="68B06990" w14:textId="3E23CBC4" w:rsidR="000E418B" w:rsidRDefault="00094703" w:rsidP="002740D5">
      <w:pPr>
        <w:ind w:firstLine="360"/>
        <w:rPr>
          <w:sz w:val="24"/>
          <w:szCs w:val="24"/>
        </w:rPr>
      </w:pPr>
      <w:r>
        <w:rPr>
          <w:sz w:val="24"/>
          <w:szCs w:val="24"/>
        </w:rPr>
        <w:t xml:space="preserve">In Scenario #2. </w:t>
      </w:r>
      <w:r w:rsidRPr="00094703">
        <w:rPr>
          <w:sz w:val="24"/>
          <w:szCs w:val="24"/>
        </w:rPr>
        <w:t>one in ten ASHP are modeled to use fuel back-up to meet heating demands during the coldest 5% of hours. In this scenario, nearly all RNG is used in the buildings sector, assuming a 9% RNG blend in gas pipelines by 2030 and 100% RNG to meet dramatically reduced gas demand in buildings by 2050</w:t>
      </w:r>
      <w:r w:rsidR="00E8171F">
        <w:rPr>
          <w:rStyle w:val="FootnoteReference"/>
          <w:sz w:val="24"/>
          <w:szCs w:val="24"/>
        </w:rPr>
        <w:footnoteReference w:id="13"/>
      </w:r>
      <w:r w:rsidRPr="00094703">
        <w:rPr>
          <w:sz w:val="24"/>
          <w:szCs w:val="24"/>
        </w:rPr>
        <w:t>.</w:t>
      </w:r>
      <w:r w:rsidR="000E418B">
        <w:rPr>
          <w:sz w:val="24"/>
          <w:szCs w:val="24"/>
        </w:rPr>
        <w:t xml:space="preserve"> </w:t>
      </w:r>
      <w:r w:rsidR="002D6CB3">
        <w:rPr>
          <w:sz w:val="24"/>
          <w:szCs w:val="24"/>
        </w:rPr>
        <w:t>A</w:t>
      </w:r>
      <w:r w:rsidR="002D6CB3" w:rsidRPr="002D6CB3">
        <w:rPr>
          <w:sz w:val="24"/>
          <w:szCs w:val="24"/>
        </w:rPr>
        <w:t xml:space="preserve">ll current natural gas CHP systems </w:t>
      </w:r>
      <w:proofErr w:type="gramStart"/>
      <w:r w:rsidR="002D6CB3" w:rsidRPr="002D6CB3">
        <w:rPr>
          <w:sz w:val="24"/>
          <w:szCs w:val="24"/>
        </w:rPr>
        <w:t>by definition can</w:t>
      </w:r>
      <w:proofErr w:type="gramEnd"/>
      <w:r w:rsidR="002D6CB3" w:rsidRPr="002D6CB3">
        <w:rPr>
          <w:sz w:val="24"/>
          <w:szCs w:val="24"/>
        </w:rPr>
        <w:t xml:space="preserve"> operate on RNG without any modifications since RNG is essentially the same composition as today's pipeline natural ga</w:t>
      </w:r>
      <w:r w:rsidR="002D6CB3">
        <w:rPr>
          <w:sz w:val="24"/>
          <w:szCs w:val="24"/>
        </w:rPr>
        <w:t>s</w:t>
      </w:r>
      <w:r w:rsidR="000E418B">
        <w:rPr>
          <w:sz w:val="24"/>
          <w:szCs w:val="24"/>
        </w:rPr>
        <w:t xml:space="preserve">. </w:t>
      </w:r>
      <w:r w:rsidR="000E418B" w:rsidRPr="00207385">
        <w:rPr>
          <w:sz w:val="24"/>
          <w:szCs w:val="24"/>
        </w:rPr>
        <w:t xml:space="preserve">As of December 31, </w:t>
      </w:r>
      <w:r w:rsidR="00117A7E" w:rsidRPr="00207385">
        <w:rPr>
          <w:sz w:val="24"/>
          <w:szCs w:val="24"/>
        </w:rPr>
        <w:t>2020,</w:t>
      </w:r>
      <w:r w:rsidR="000E418B" w:rsidRPr="00207385">
        <w:rPr>
          <w:sz w:val="24"/>
          <w:szCs w:val="24"/>
        </w:rPr>
        <w:t xml:space="preserve"> there were reported to be 774 </w:t>
      </w:r>
      <w:r w:rsidR="007B04C3">
        <w:rPr>
          <w:sz w:val="24"/>
          <w:szCs w:val="24"/>
        </w:rPr>
        <w:t xml:space="preserve">CHP </w:t>
      </w:r>
      <w:r w:rsidR="000E418B" w:rsidRPr="00207385">
        <w:rPr>
          <w:sz w:val="24"/>
          <w:szCs w:val="24"/>
        </w:rPr>
        <w:t>sites using renewable</w:t>
      </w:r>
      <w:r w:rsidR="007B04C3">
        <w:rPr>
          <w:sz w:val="24"/>
          <w:szCs w:val="24"/>
        </w:rPr>
        <w:t xml:space="preserve"> fuels such as digester gas and landfill gas</w:t>
      </w:r>
      <w:r w:rsidR="000E418B" w:rsidRPr="00207385">
        <w:rPr>
          <w:sz w:val="24"/>
          <w:szCs w:val="24"/>
        </w:rPr>
        <w:t xml:space="preserve">, representing nearly 4.3 </w:t>
      </w:r>
      <w:r w:rsidR="00AD386F" w:rsidRPr="00207385">
        <w:rPr>
          <w:sz w:val="24"/>
          <w:szCs w:val="24"/>
        </w:rPr>
        <w:t>GWs</w:t>
      </w:r>
      <w:r w:rsidR="000E418B" w:rsidRPr="00207385">
        <w:rPr>
          <w:sz w:val="24"/>
          <w:szCs w:val="24"/>
        </w:rPr>
        <w:t xml:space="preserve"> of installed capacity</w:t>
      </w:r>
      <w:r w:rsidR="000E418B">
        <w:rPr>
          <w:rStyle w:val="FootnoteReference"/>
          <w:sz w:val="24"/>
          <w:szCs w:val="24"/>
        </w:rPr>
        <w:footnoteReference w:id="14"/>
      </w:r>
      <w:r w:rsidR="000E418B" w:rsidRPr="00207385">
        <w:rPr>
          <w:sz w:val="24"/>
          <w:szCs w:val="24"/>
        </w:rPr>
        <w:t>.</w:t>
      </w:r>
    </w:p>
    <w:p w14:paraId="57E6745A" w14:textId="13ED849E" w:rsidR="00694DC8" w:rsidRPr="006A6AEB" w:rsidRDefault="0091422D" w:rsidP="002740D5">
      <w:pPr>
        <w:ind w:firstLine="360"/>
        <w:rPr>
          <w:sz w:val="24"/>
          <w:szCs w:val="24"/>
        </w:rPr>
      </w:pPr>
      <w:r w:rsidRPr="006A6AEB">
        <w:rPr>
          <w:sz w:val="24"/>
          <w:szCs w:val="24"/>
        </w:rPr>
        <w:t>No matter the fuel utilized, CHP offers the double dividend of increased efficiency and increased winter peak reduction</w:t>
      </w:r>
      <w:r w:rsidR="007B04C3">
        <w:rPr>
          <w:sz w:val="24"/>
          <w:szCs w:val="24"/>
        </w:rPr>
        <w:t xml:space="preserve"> in electricity demand</w:t>
      </w:r>
      <w:r w:rsidRPr="006A6AEB">
        <w:rPr>
          <w:sz w:val="24"/>
          <w:szCs w:val="24"/>
        </w:rPr>
        <w:t xml:space="preserve">. </w:t>
      </w:r>
      <w:r w:rsidR="002E5E4C" w:rsidRPr="006A6AEB">
        <w:rPr>
          <w:sz w:val="24"/>
          <w:szCs w:val="24"/>
        </w:rPr>
        <w:t xml:space="preserve">A </w:t>
      </w:r>
      <w:r w:rsidR="00BD5C9A" w:rsidRPr="006A6AEB">
        <w:rPr>
          <w:sz w:val="24"/>
          <w:szCs w:val="24"/>
        </w:rPr>
        <w:t xml:space="preserve">CHP system providing supplemental heat provides grid relief through </w:t>
      </w:r>
      <w:r w:rsidR="002E4287" w:rsidRPr="006A6AEB">
        <w:rPr>
          <w:sz w:val="24"/>
          <w:szCs w:val="24"/>
        </w:rPr>
        <w:t xml:space="preserve">both </w:t>
      </w:r>
      <w:r w:rsidR="00BD5C9A" w:rsidRPr="006A6AEB">
        <w:rPr>
          <w:sz w:val="24"/>
          <w:szCs w:val="24"/>
        </w:rPr>
        <w:t xml:space="preserve">reduction in electric usage by heat pumps, </w:t>
      </w:r>
      <w:r w:rsidR="00FD26DE" w:rsidRPr="006A6AEB">
        <w:rPr>
          <w:sz w:val="24"/>
          <w:szCs w:val="24"/>
        </w:rPr>
        <w:t>and</w:t>
      </w:r>
      <w:r w:rsidR="00BD5C9A" w:rsidRPr="006A6AEB">
        <w:rPr>
          <w:sz w:val="24"/>
          <w:szCs w:val="24"/>
        </w:rPr>
        <w:t xml:space="preserve"> by the electricity generated by the CHP system</w:t>
      </w:r>
      <w:r w:rsidR="000621BD" w:rsidRPr="006A6AEB">
        <w:rPr>
          <w:sz w:val="24"/>
          <w:szCs w:val="24"/>
        </w:rPr>
        <w:t>.</w:t>
      </w:r>
      <w:r w:rsidR="00BD5C9A" w:rsidRPr="006A6AEB">
        <w:rPr>
          <w:sz w:val="24"/>
          <w:szCs w:val="24"/>
        </w:rPr>
        <w:t xml:space="preserve"> </w:t>
      </w:r>
      <w:r w:rsidR="006C2DFE" w:rsidRPr="006A6AEB">
        <w:rPr>
          <w:sz w:val="24"/>
          <w:szCs w:val="24"/>
        </w:rPr>
        <w:t>This approach</w:t>
      </w:r>
      <w:r w:rsidR="008D1D06" w:rsidRPr="006A6AEB">
        <w:rPr>
          <w:sz w:val="24"/>
          <w:szCs w:val="24"/>
        </w:rPr>
        <w:t xml:space="preserve"> </w:t>
      </w:r>
      <w:r w:rsidR="00333460" w:rsidRPr="006A6AEB">
        <w:rPr>
          <w:sz w:val="24"/>
          <w:szCs w:val="24"/>
        </w:rPr>
        <w:t xml:space="preserve">delivers </w:t>
      </w:r>
      <w:r w:rsidR="008D1D06" w:rsidRPr="006A6AEB">
        <w:rPr>
          <w:sz w:val="24"/>
          <w:szCs w:val="24"/>
        </w:rPr>
        <w:t>a much greater peak-shaving benefit than boilers alone.</w:t>
      </w:r>
      <w:r w:rsidR="009640D7" w:rsidRPr="006A6AEB">
        <w:rPr>
          <w:sz w:val="24"/>
          <w:szCs w:val="24"/>
        </w:rPr>
        <w:t xml:space="preserve"> </w:t>
      </w:r>
      <w:r w:rsidR="00694DC8" w:rsidRPr="006A6AEB">
        <w:rPr>
          <w:sz w:val="24"/>
          <w:szCs w:val="24"/>
        </w:rPr>
        <w:t xml:space="preserve">CHP running a small number of hours per year </w:t>
      </w:r>
      <w:r w:rsidR="00E544C9">
        <w:rPr>
          <w:sz w:val="24"/>
          <w:szCs w:val="24"/>
        </w:rPr>
        <w:t>mitigates</w:t>
      </w:r>
      <w:r w:rsidR="00694DC8" w:rsidRPr="006A6AEB">
        <w:rPr>
          <w:sz w:val="24"/>
          <w:szCs w:val="24"/>
        </w:rPr>
        <w:t xml:space="preserve"> the need for oversizing of heat pumps on site and facilitates down-sizing asset investments all the way up the supply chain, requiring less grid infrastructure and renewable generation assets. Strategically utilizing CHP systems in this manner has the potential for delivering sizable cost savings</w:t>
      </w:r>
      <w:r w:rsidR="006A0AEF" w:rsidRPr="006A6AEB">
        <w:rPr>
          <w:sz w:val="24"/>
          <w:szCs w:val="24"/>
        </w:rPr>
        <w:t>.</w:t>
      </w:r>
    </w:p>
    <w:p w14:paraId="763E5E13" w14:textId="77777777" w:rsidR="006A0AEF" w:rsidRPr="006A6AEB" w:rsidRDefault="006A0AEF" w:rsidP="002740D5">
      <w:pPr>
        <w:ind w:firstLine="360"/>
        <w:rPr>
          <w:sz w:val="24"/>
          <w:szCs w:val="24"/>
        </w:rPr>
      </w:pPr>
      <w:r w:rsidRPr="006A6AEB">
        <w:rPr>
          <w:sz w:val="24"/>
          <w:szCs w:val="24"/>
        </w:rPr>
        <w:t xml:space="preserve">Resiliency is also a key factor for many buildings sectors, such as college campuses, hospitals, and multi-family buildings and campuses, especially LMI and public housing. Reliance on the grid for heating and electricity reduces redundancy and limits the length of outages that can be operated through to the duration of on-site electric storage available. CHP can provide resilient power, heating and cooling for disadvantaged communities that are most vulnerable to the consequences of climate change and historically have inadequate energy infrastructure. </w:t>
      </w:r>
    </w:p>
    <w:p w14:paraId="4EAF99A5" w14:textId="6106DB74" w:rsidR="00877596" w:rsidRPr="006A6AEB" w:rsidRDefault="00CB05DC" w:rsidP="002740D5">
      <w:pPr>
        <w:ind w:firstLine="360"/>
        <w:rPr>
          <w:sz w:val="24"/>
          <w:szCs w:val="24"/>
        </w:rPr>
      </w:pPr>
      <w:r>
        <w:rPr>
          <w:sz w:val="24"/>
          <w:szCs w:val="24"/>
        </w:rPr>
        <w:t xml:space="preserve">Strategic </w:t>
      </w:r>
      <w:r w:rsidR="00835FDA" w:rsidRPr="006A6AEB">
        <w:rPr>
          <w:sz w:val="24"/>
          <w:szCs w:val="24"/>
        </w:rPr>
        <w:t xml:space="preserve">CHP investments </w:t>
      </w:r>
      <w:r>
        <w:rPr>
          <w:sz w:val="24"/>
          <w:szCs w:val="24"/>
        </w:rPr>
        <w:t>now provide</w:t>
      </w:r>
      <w:r w:rsidR="00835FDA" w:rsidRPr="006A6AEB">
        <w:rPr>
          <w:sz w:val="24"/>
          <w:szCs w:val="24"/>
        </w:rPr>
        <w:t xml:space="preserve"> the opportunity to capture immediate carbon reductions and lay a supporting foundation for a transition to zero emissions onsite heating/power/cooling and resiliency solutions available from CHP systems. </w:t>
      </w:r>
      <w:r w:rsidR="00680F9A" w:rsidRPr="006A6AEB">
        <w:rPr>
          <w:sz w:val="24"/>
          <w:szCs w:val="24"/>
        </w:rPr>
        <w:t>College</w:t>
      </w:r>
      <w:r w:rsidR="00835FDA" w:rsidRPr="006A6AEB">
        <w:rPr>
          <w:sz w:val="24"/>
          <w:szCs w:val="24"/>
        </w:rPr>
        <w:t xml:space="preserve"> </w:t>
      </w:r>
      <w:r w:rsidR="00680F9A" w:rsidRPr="006A6AEB">
        <w:rPr>
          <w:sz w:val="24"/>
          <w:szCs w:val="24"/>
        </w:rPr>
        <w:t>c</w:t>
      </w:r>
      <w:r w:rsidR="00835FDA" w:rsidRPr="006A6AEB">
        <w:rPr>
          <w:sz w:val="24"/>
          <w:szCs w:val="24"/>
        </w:rPr>
        <w:t>ampuses</w:t>
      </w:r>
      <w:r w:rsidR="00680F9A" w:rsidRPr="006A6AEB">
        <w:rPr>
          <w:sz w:val="24"/>
          <w:szCs w:val="24"/>
        </w:rPr>
        <w:t>,</w:t>
      </w:r>
      <w:r w:rsidR="00835FDA" w:rsidRPr="006A6AEB">
        <w:rPr>
          <w:sz w:val="24"/>
          <w:szCs w:val="24"/>
        </w:rPr>
        <w:t xml:space="preserve"> multifamily buildings, hospitals, and critical business and government sites </w:t>
      </w:r>
      <w:r w:rsidR="000F5C88">
        <w:rPr>
          <w:sz w:val="24"/>
          <w:szCs w:val="24"/>
        </w:rPr>
        <w:t>take</w:t>
      </w:r>
      <w:r w:rsidR="000F5C88" w:rsidRPr="006A6AEB">
        <w:rPr>
          <w:sz w:val="24"/>
          <w:szCs w:val="24"/>
        </w:rPr>
        <w:t xml:space="preserve"> </w:t>
      </w:r>
      <w:r w:rsidR="00835FDA" w:rsidRPr="006A6AEB">
        <w:rPr>
          <w:sz w:val="24"/>
          <w:szCs w:val="24"/>
        </w:rPr>
        <w:t xml:space="preserve">several years to plan, design, build and commission operation of their energy systems. </w:t>
      </w:r>
    </w:p>
    <w:p w14:paraId="77E6A13C" w14:textId="5D033AC4" w:rsidR="00604C50" w:rsidRPr="006A6AEB" w:rsidRDefault="00835FDA" w:rsidP="002740D5">
      <w:pPr>
        <w:ind w:firstLine="360"/>
        <w:rPr>
          <w:sz w:val="24"/>
          <w:szCs w:val="24"/>
        </w:rPr>
      </w:pPr>
      <w:r w:rsidRPr="006A6AEB">
        <w:rPr>
          <w:sz w:val="24"/>
          <w:szCs w:val="24"/>
        </w:rPr>
        <w:lastRenderedPageBreak/>
        <w:t>If high</w:t>
      </w:r>
      <w:r w:rsidR="006A0AEF" w:rsidRPr="006A6AEB">
        <w:rPr>
          <w:sz w:val="24"/>
          <w:szCs w:val="24"/>
        </w:rPr>
        <w:t>ly</w:t>
      </w:r>
      <w:r w:rsidRPr="006A6AEB">
        <w:rPr>
          <w:sz w:val="24"/>
          <w:szCs w:val="24"/>
        </w:rPr>
        <w:t xml:space="preserve"> efficien</w:t>
      </w:r>
      <w:r w:rsidR="006A0AEF" w:rsidRPr="006A6AEB">
        <w:rPr>
          <w:sz w:val="24"/>
          <w:szCs w:val="24"/>
        </w:rPr>
        <w:t>t</w:t>
      </w:r>
      <w:r w:rsidRPr="006A6AEB">
        <w:rPr>
          <w:sz w:val="24"/>
          <w:szCs w:val="24"/>
        </w:rPr>
        <w:t xml:space="preserve">, resilient, </w:t>
      </w:r>
      <w:r w:rsidR="00680F9A" w:rsidRPr="006A6AEB">
        <w:rPr>
          <w:sz w:val="24"/>
          <w:szCs w:val="24"/>
        </w:rPr>
        <w:t xml:space="preserve">and </w:t>
      </w:r>
      <w:r w:rsidRPr="006A6AEB">
        <w:rPr>
          <w:sz w:val="24"/>
          <w:szCs w:val="24"/>
        </w:rPr>
        <w:t>environmentally superior CHP systems are excluded from the potential solution set today, they will not be available at critical system inflection points in 2030, 2035,</w:t>
      </w:r>
      <w:r w:rsidR="00680F9A" w:rsidRPr="006A6AEB">
        <w:rPr>
          <w:sz w:val="24"/>
          <w:szCs w:val="24"/>
        </w:rPr>
        <w:t xml:space="preserve"> or</w:t>
      </w:r>
      <w:r w:rsidRPr="006A6AEB">
        <w:rPr>
          <w:sz w:val="24"/>
          <w:szCs w:val="24"/>
        </w:rPr>
        <w:t xml:space="preserve"> 2040. </w:t>
      </w:r>
      <w:r w:rsidR="00441A26">
        <w:rPr>
          <w:sz w:val="24"/>
          <w:szCs w:val="24"/>
        </w:rPr>
        <w:t>S</w:t>
      </w:r>
      <w:r w:rsidR="00587A84" w:rsidRPr="006A6AEB">
        <w:rPr>
          <w:sz w:val="24"/>
          <w:szCs w:val="24"/>
        </w:rPr>
        <w:t>ecur</w:t>
      </w:r>
      <w:r w:rsidR="00441A26">
        <w:rPr>
          <w:sz w:val="24"/>
          <w:szCs w:val="24"/>
        </w:rPr>
        <w:t>ing</w:t>
      </w:r>
      <w:r w:rsidR="00C3795B" w:rsidRPr="006A6AEB">
        <w:rPr>
          <w:sz w:val="24"/>
          <w:szCs w:val="24"/>
        </w:rPr>
        <w:t xml:space="preserve"> carbon reductions today</w:t>
      </w:r>
      <w:r w:rsidR="00E6371C">
        <w:rPr>
          <w:sz w:val="24"/>
          <w:szCs w:val="24"/>
        </w:rPr>
        <w:t xml:space="preserve"> are more valuable than are carbon reductions occurring in 5 to 15 years. </w:t>
      </w:r>
      <w:r w:rsidR="007B04C3">
        <w:rPr>
          <w:sz w:val="24"/>
          <w:szCs w:val="24"/>
        </w:rPr>
        <w:t xml:space="preserve">Accelerating </w:t>
      </w:r>
      <w:r w:rsidR="00557810">
        <w:rPr>
          <w:sz w:val="24"/>
          <w:szCs w:val="24"/>
        </w:rPr>
        <w:t xml:space="preserve">carbon reductions in the near term </w:t>
      </w:r>
      <w:r w:rsidR="00A04034">
        <w:rPr>
          <w:sz w:val="24"/>
          <w:szCs w:val="24"/>
        </w:rPr>
        <w:t xml:space="preserve">also </w:t>
      </w:r>
      <w:r w:rsidR="00557810">
        <w:rPr>
          <w:sz w:val="24"/>
          <w:szCs w:val="24"/>
        </w:rPr>
        <w:t>provide</w:t>
      </w:r>
      <w:r w:rsidR="007B04C3">
        <w:rPr>
          <w:sz w:val="24"/>
          <w:szCs w:val="24"/>
        </w:rPr>
        <w:t>s</w:t>
      </w:r>
      <w:r w:rsidR="00557810">
        <w:rPr>
          <w:sz w:val="24"/>
          <w:szCs w:val="24"/>
        </w:rPr>
        <w:t xml:space="preserve"> more time for </w:t>
      </w:r>
      <w:r w:rsidR="00A04034">
        <w:rPr>
          <w:sz w:val="24"/>
          <w:szCs w:val="24"/>
        </w:rPr>
        <w:t xml:space="preserve">zero-carbon </w:t>
      </w:r>
      <w:r w:rsidR="00557810">
        <w:rPr>
          <w:sz w:val="24"/>
          <w:szCs w:val="24"/>
        </w:rPr>
        <w:t xml:space="preserve">product and process </w:t>
      </w:r>
      <w:r w:rsidR="007A181D">
        <w:rPr>
          <w:sz w:val="24"/>
          <w:szCs w:val="24"/>
        </w:rPr>
        <w:t xml:space="preserve">innovations </w:t>
      </w:r>
      <w:r w:rsidR="00A04034">
        <w:rPr>
          <w:sz w:val="24"/>
          <w:szCs w:val="24"/>
        </w:rPr>
        <w:t>to advance</w:t>
      </w:r>
      <w:r w:rsidR="006F6D6B" w:rsidRPr="006A6AEB">
        <w:rPr>
          <w:sz w:val="24"/>
          <w:szCs w:val="24"/>
        </w:rPr>
        <w:t xml:space="preserve">. </w:t>
      </w:r>
    </w:p>
    <w:p w14:paraId="7AD153A1" w14:textId="28066D2E" w:rsidR="00ED331D" w:rsidRPr="001417EF" w:rsidRDefault="00E544C9" w:rsidP="002740D5">
      <w:pPr>
        <w:pStyle w:val="Heading2"/>
        <w:ind w:firstLine="360"/>
        <w:rPr>
          <w:sz w:val="28"/>
          <w:szCs w:val="28"/>
        </w:rPr>
      </w:pPr>
      <w:r w:rsidRPr="001417EF">
        <w:rPr>
          <w:sz w:val="28"/>
          <w:szCs w:val="28"/>
        </w:rPr>
        <w:t xml:space="preserve">Comments on </w:t>
      </w:r>
      <w:r w:rsidR="007D1B2F" w:rsidRPr="001417EF">
        <w:rPr>
          <w:sz w:val="28"/>
          <w:szCs w:val="28"/>
        </w:rPr>
        <w:t>Chapter 13 Electricity</w:t>
      </w:r>
    </w:p>
    <w:p w14:paraId="45D5A1B0" w14:textId="4E21875F" w:rsidR="006C4C4C" w:rsidRPr="00200C2D" w:rsidRDefault="00764628" w:rsidP="002740D5">
      <w:pPr>
        <w:ind w:firstLine="360"/>
        <w:rPr>
          <w:sz w:val="24"/>
          <w:szCs w:val="24"/>
        </w:rPr>
      </w:pPr>
      <w:r>
        <w:rPr>
          <w:sz w:val="24"/>
          <w:szCs w:val="24"/>
        </w:rPr>
        <w:t>T</w:t>
      </w:r>
      <w:r w:rsidR="00A64F3E" w:rsidRPr="00200C2D">
        <w:rPr>
          <w:sz w:val="24"/>
          <w:szCs w:val="24"/>
        </w:rPr>
        <w:t>o meet the targets laid out in CLCPA, there is a need for a large amount of dispatchable emissions-free resources (DEFRs).</w:t>
      </w:r>
      <w:r w:rsidR="00801FDE" w:rsidRPr="00200C2D">
        <w:rPr>
          <w:sz w:val="24"/>
          <w:szCs w:val="24"/>
        </w:rPr>
        <w:t xml:space="preserve"> The NYISO has identified a potential need beyond NYSERDA’s New York Power Grid Study,</w:t>
      </w:r>
      <w:r w:rsidR="00A74DD1" w:rsidRPr="00200C2D">
        <w:rPr>
          <w:rStyle w:val="FootnoteReference"/>
          <w:sz w:val="24"/>
          <w:szCs w:val="24"/>
        </w:rPr>
        <w:footnoteReference w:id="15"/>
      </w:r>
      <w:r w:rsidR="00801FDE" w:rsidRPr="00200C2D">
        <w:rPr>
          <w:sz w:val="24"/>
          <w:szCs w:val="24"/>
        </w:rPr>
        <w:t xml:space="preserve"> </w:t>
      </w:r>
      <w:r w:rsidR="0059722C">
        <w:rPr>
          <w:sz w:val="24"/>
          <w:szCs w:val="24"/>
        </w:rPr>
        <w:t>estimating that</w:t>
      </w:r>
      <w:r w:rsidR="0059722C" w:rsidRPr="00200C2D">
        <w:rPr>
          <w:sz w:val="24"/>
          <w:szCs w:val="24"/>
        </w:rPr>
        <w:t xml:space="preserve"> </w:t>
      </w:r>
      <w:r w:rsidR="00801FDE" w:rsidRPr="00200C2D">
        <w:rPr>
          <w:sz w:val="24"/>
          <w:szCs w:val="24"/>
        </w:rPr>
        <w:t>up to 32 GW of DEFR</w:t>
      </w:r>
      <w:r w:rsidR="00F02A8A" w:rsidRPr="00200C2D">
        <w:rPr>
          <w:sz w:val="24"/>
          <w:szCs w:val="24"/>
        </w:rPr>
        <w:t>s</w:t>
      </w:r>
      <w:r w:rsidR="00801FDE" w:rsidRPr="00200C2D">
        <w:rPr>
          <w:sz w:val="24"/>
          <w:szCs w:val="24"/>
        </w:rPr>
        <w:t xml:space="preserve"> would be needed to stabilize the grid at winter peak in 2040.</w:t>
      </w:r>
      <w:r w:rsidR="00B400FC" w:rsidRPr="00200C2D">
        <w:rPr>
          <w:rStyle w:val="FootnoteReference"/>
          <w:sz w:val="24"/>
          <w:szCs w:val="24"/>
        </w:rPr>
        <w:footnoteReference w:id="16"/>
      </w:r>
      <w:r w:rsidR="00B400FC" w:rsidRPr="00200C2D">
        <w:rPr>
          <w:sz w:val="24"/>
          <w:szCs w:val="24"/>
        </w:rPr>
        <w:t xml:space="preserve"> </w:t>
      </w:r>
      <w:r w:rsidR="006C4C4C" w:rsidRPr="00200C2D">
        <w:rPr>
          <w:sz w:val="24"/>
          <w:szCs w:val="24"/>
        </w:rPr>
        <w:t xml:space="preserve"> Additionally, in the event the build out of renewables falls short of projected targets, reliance on DEFRs will increase</w:t>
      </w:r>
      <w:r w:rsidR="00896409">
        <w:rPr>
          <w:sz w:val="24"/>
          <w:szCs w:val="24"/>
        </w:rPr>
        <w:t>,</w:t>
      </w:r>
      <w:r w:rsidR="006C4C4C" w:rsidRPr="00200C2D">
        <w:rPr>
          <w:sz w:val="24"/>
          <w:szCs w:val="24"/>
        </w:rPr>
        <w:t xml:space="preserve"> </w:t>
      </w:r>
      <w:r>
        <w:rPr>
          <w:sz w:val="24"/>
          <w:szCs w:val="24"/>
        </w:rPr>
        <w:t xml:space="preserve">perhaps </w:t>
      </w:r>
      <w:r w:rsidR="006C4C4C" w:rsidRPr="00200C2D">
        <w:rPr>
          <w:sz w:val="24"/>
          <w:szCs w:val="24"/>
        </w:rPr>
        <w:t>dramatically</w:t>
      </w:r>
    </w:p>
    <w:p w14:paraId="13E36D00" w14:textId="37CB4259" w:rsidR="000E13F5" w:rsidRPr="00200C2D" w:rsidRDefault="00A64F3E" w:rsidP="002740D5">
      <w:pPr>
        <w:ind w:firstLine="360"/>
        <w:rPr>
          <w:sz w:val="24"/>
          <w:szCs w:val="24"/>
        </w:rPr>
      </w:pPr>
      <w:r w:rsidRPr="00200C2D">
        <w:rPr>
          <w:sz w:val="24"/>
          <w:szCs w:val="24"/>
        </w:rPr>
        <w:t>These DEFRs are an as-yet undefined technology</w:t>
      </w:r>
      <w:r w:rsidR="002569BE" w:rsidRPr="00200C2D">
        <w:rPr>
          <w:sz w:val="24"/>
          <w:szCs w:val="24"/>
        </w:rPr>
        <w:t xml:space="preserve">. </w:t>
      </w:r>
      <w:r w:rsidRPr="00200C2D">
        <w:rPr>
          <w:sz w:val="24"/>
          <w:szCs w:val="24"/>
        </w:rPr>
        <w:t xml:space="preserve">CHP </w:t>
      </w:r>
      <w:r w:rsidR="00CF790B" w:rsidRPr="00200C2D">
        <w:rPr>
          <w:sz w:val="24"/>
          <w:szCs w:val="24"/>
        </w:rPr>
        <w:t xml:space="preserve">utilizing </w:t>
      </w:r>
      <w:r w:rsidR="00B87CD3">
        <w:rPr>
          <w:sz w:val="24"/>
          <w:szCs w:val="24"/>
        </w:rPr>
        <w:t>low carbon</w:t>
      </w:r>
      <w:r w:rsidRPr="00200C2D">
        <w:rPr>
          <w:sz w:val="24"/>
          <w:szCs w:val="24"/>
        </w:rPr>
        <w:t xml:space="preserve"> fuels can meet those needs efficiently and economically. </w:t>
      </w:r>
      <w:r w:rsidR="006C4C4C" w:rsidRPr="00200C2D">
        <w:rPr>
          <w:sz w:val="24"/>
          <w:szCs w:val="24"/>
        </w:rPr>
        <w:t xml:space="preserve"> </w:t>
      </w:r>
      <w:r w:rsidR="000E13F5" w:rsidRPr="00200C2D">
        <w:rPr>
          <w:sz w:val="24"/>
          <w:szCs w:val="24"/>
        </w:rPr>
        <w:t xml:space="preserve">CHP </w:t>
      </w:r>
      <w:r w:rsidR="00A26629" w:rsidRPr="00200C2D">
        <w:rPr>
          <w:sz w:val="24"/>
          <w:szCs w:val="24"/>
        </w:rPr>
        <w:t xml:space="preserve">with </w:t>
      </w:r>
      <w:r w:rsidR="00B87CD3">
        <w:rPr>
          <w:sz w:val="24"/>
          <w:szCs w:val="24"/>
        </w:rPr>
        <w:t>low carbon</w:t>
      </w:r>
      <w:r w:rsidR="00A26629" w:rsidRPr="00200C2D">
        <w:rPr>
          <w:sz w:val="24"/>
          <w:szCs w:val="24"/>
        </w:rPr>
        <w:t xml:space="preserve"> fuels </w:t>
      </w:r>
      <w:r w:rsidR="000E13F5" w:rsidRPr="00200C2D">
        <w:rPr>
          <w:sz w:val="24"/>
          <w:szCs w:val="24"/>
        </w:rPr>
        <w:t>is</w:t>
      </w:r>
      <w:r w:rsidR="008E44AC" w:rsidRPr="00200C2D">
        <w:rPr>
          <w:sz w:val="24"/>
          <w:szCs w:val="24"/>
        </w:rPr>
        <w:t xml:space="preserve"> an</w:t>
      </w:r>
      <w:r w:rsidR="000E13F5" w:rsidRPr="00200C2D">
        <w:rPr>
          <w:sz w:val="24"/>
          <w:szCs w:val="24"/>
        </w:rPr>
        <w:t xml:space="preserve"> </w:t>
      </w:r>
      <w:r w:rsidR="00A26629" w:rsidRPr="00200C2D">
        <w:rPr>
          <w:sz w:val="24"/>
          <w:szCs w:val="24"/>
        </w:rPr>
        <w:t>ideal</w:t>
      </w:r>
      <w:r w:rsidR="008E44AC" w:rsidRPr="00200C2D">
        <w:rPr>
          <w:sz w:val="24"/>
          <w:szCs w:val="24"/>
        </w:rPr>
        <w:t xml:space="preserve"> technology</w:t>
      </w:r>
      <w:r w:rsidR="00A26629" w:rsidRPr="00200C2D">
        <w:rPr>
          <w:sz w:val="24"/>
          <w:szCs w:val="24"/>
        </w:rPr>
        <w:t xml:space="preserve"> </w:t>
      </w:r>
      <w:r w:rsidR="000E13F5" w:rsidRPr="00200C2D">
        <w:rPr>
          <w:sz w:val="24"/>
          <w:szCs w:val="24"/>
        </w:rPr>
        <w:t>to fill the role of a DEFR</w:t>
      </w:r>
      <w:r w:rsidR="00A26629" w:rsidRPr="00200C2D">
        <w:rPr>
          <w:sz w:val="24"/>
          <w:szCs w:val="24"/>
        </w:rPr>
        <w:t>. It r</w:t>
      </w:r>
      <w:r w:rsidR="000E13F5" w:rsidRPr="00200C2D">
        <w:rPr>
          <w:sz w:val="24"/>
          <w:szCs w:val="24"/>
        </w:rPr>
        <w:t xml:space="preserve">epresents </w:t>
      </w:r>
      <w:r w:rsidR="00A26629" w:rsidRPr="00200C2D">
        <w:rPr>
          <w:sz w:val="24"/>
          <w:szCs w:val="24"/>
        </w:rPr>
        <w:t xml:space="preserve">the </w:t>
      </w:r>
      <w:r w:rsidR="000E13F5" w:rsidRPr="00200C2D">
        <w:rPr>
          <w:sz w:val="24"/>
          <w:szCs w:val="24"/>
        </w:rPr>
        <w:t xml:space="preserve">most efficient use of fuel due to </w:t>
      </w:r>
      <w:r w:rsidR="00A26629" w:rsidRPr="00200C2D">
        <w:rPr>
          <w:sz w:val="24"/>
          <w:szCs w:val="24"/>
        </w:rPr>
        <w:t xml:space="preserve">its </w:t>
      </w:r>
      <w:r w:rsidR="000E13F5" w:rsidRPr="00200C2D">
        <w:rPr>
          <w:sz w:val="24"/>
          <w:szCs w:val="24"/>
        </w:rPr>
        <w:t>high operating efficiency</w:t>
      </w:r>
      <w:r w:rsidR="0007104A" w:rsidRPr="00200C2D">
        <w:rPr>
          <w:sz w:val="24"/>
          <w:szCs w:val="24"/>
        </w:rPr>
        <w:t xml:space="preserve"> of </w:t>
      </w:r>
      <w:r w:rsidR="000E13F5" w:rsidRPr="00200C2D">
        <w:rPr>
          <w:sz w:val="24"/>
          <w:szCs w:val="24"/>
        </w:rPr>
        <w:t>70 – 80%</w:t>
      </w:r>
      <w:r w:rsidR="00A26629" w:rsidRPr="00200C2D">
        <w:rPr>
          <w:sz w:val="24"/>
          <w:szCs w:val="24"/>
        </w:rPr>
        <w:t>,</w:t>
      </w:r>
      <w:r w:rsidR="000E13F5" w:rsidRPr="00200C2D">
        <w:rPr>
          <w:sz w:val="24"/>
          <w:szCs w:val="24"/>
        </w:rPr>
        <w:t xml:space="preserve"> compared to </w:t>
      </w:r>
      <w:r w:rsidR="0007104A" w:rsidRPr="00200C2D">
        <w:rPr>
          <w:sz w:val="24"/>
          <w:szCs w:val="24"/>
        </w:rPr>
        <w:t xml:space="preserve">a </w:t>
      </w:r>
      <w:r w:rsidR="000E13F5" w:rsidRPr="00200C2D">
        <w:rPr>
          <w:sz w:val="24"/>
          <w:szCs w:val="24"/>
        </w:rPr>
        <w:t xml:space="preserve">combined cycle power plant </w:t>
      </w:r>
      <w:r w:rsidR="0007104A" w:rsidRPr="00200C2D">
        <w:rPr>
          <w:sz w:val="24"/>
          <w:szCs w:val="24"/>
        </w:rPr>
        <w:t xml:space="preserve">of </w:t>
      </w:r>
      <w:r w:rsidR="000E13F5" w:rsidRPr="00200C2D">
        <w:rPr>
          <w:sz w:val="24"/>
          <w:szCs w:val="24"/>
        </w:rPr>
        <w:t>~55%</w:t>
      </w:r>
      <w:r w:rsidR="00FA1635" w:rsidRPr="00200C2D">
        <w:rPr>
          <w:sz w:val="24"/>
          <w:szCs w:val="24"/>
        </w:rPr>
        <w:t>. CHP also p</w:t>
      </w:r>
      <w:r w:rsidR="000E13F5" w:rsidRPr="00200C2D">
        <w:rPr>
          <w:sz w:val="24"/>
          <w:szCs w:val="24"/>
        </w:rPr>
        <w:t>rovides power production close to point of use, eliminating transmission losses and providing</w:t>
      </w:r>
      <w:r w:rsidR="002F72F8" w:rsidRPr="00200C2D">
        <w:rPr>
          <w:sz w:val="24"/>
          <w:szCs w:val="24"/>
        </w:rPr>
        <w:t xml:space="preserve"> local</w:t>
      </w:r>
      <w:r w:rsidR="000E13F5" w:rsidRPr="00200C2D">
        <w:rPr>
          <w:sz w:val="24"/>
          <w:szCs w:val="24"/>
        </w:rPr>
        <w:t xml:space="preserve"> resiliency. </w:t>
      </w:r>
    </w:p>
    <w:p w14:paraId="7145F5AA" w14:textId="77417CF9" w:rsidR="00877596" w:rsidRDefault="00367B4F" w:rsidP="002740D5">
      <w:pPr>
        <w:ind w:firstLine="360"/>
        <w:rPr>
          <w:sz w:val="24"/>
          <w:szCs w:val="24"/>
        </w:rPr>
      </w:pPr>
      <w:r w:rsidRPr="00200C2D">
        <w:rPr>
          <w:sz w:val="24"/>
          <w:szCs w:val="24"/>
        </w:rPr>
        <w:t xml:space="preserve">A renewable grid with wide-scale building electrification requires load shifting on an unprecedented scale. </w:t>
      </w:r>
      <w:r w:rsidR="00D969DE">
        <w:rPr>
          <w:sz w:val="24"/>
          <w:szCs w:val="24"/>
        </w:rPr>
        <w:t>On January 27, 2022, t</w:t>
      </w:r>
      <w:r w:rsidR="00896409">
        <w:rPr>
          <w:sz w:val="24"/>
          <w:szCs w:val="24"/>
        </w:rPr>
        <w:t xml:space="preserve">he </w:t>
      </w:r>
      <w:r w:rsidR="00C23365">
        <w:rPr>
          <w:sz w:val="24"/>
          <w:szCs w:val="24"/>
        </w:rPr>
        <w:t xml:space="preserve">NY/NJ CHP TAP co-hosted an informative webinar, which featured </w:t>
      </w:r>
      <w:r w:rsidR="00291F04">
        <w:rPr>
          <w:sz w:val="24"/>
          <w:szCs w:val="24"/>
        </w:rPr>
        <w:t xml:space="preserve">a presentation by the NYISO on the </w:t>
      </w:r>
      <w:r w:rsidR="00896409">
        <w:rPr>
          <w:sz w:val="24"/>
          <w:szCs w:val="24"/>
        </w:rPr>
        <w:t>Grid of the Future</w:t>
      </w:r>
      <w:r w:rsidR="00291F04">
        <w:rPr>
          <w:rStyle w:val="FootnoteReference"/>
          <w:sz w:val="24"/>
          <w:szCs w:val="24"/>
        </w:rPr>
        <w:footnoteReference w:id="17"/>
      </w:r>
      <w:r w:rsidR="00291F04">
        <w:rPr>
          <w:sz w:val="24"/>
          <w:szCs w:val="24"/>
        </w:rPr>
        <w:t>.</w:t>
      </w:r>
      <w:r w:rsidR="00896409">
        <w:rPr>
          <w:sz w:val="24"/>
          <w:szCs w:val="24"/>
        </w:rPr>
        <w:t xml:space="preserve"> </w:t>
      </w:r>
      <w:r w:rsidR="00746268">
        <w:rPr>
          <w:sz w:val="24"/>
          <w:szCs w:val="24"/>
        </w:rPr>
        <w:t xml:space="preserve"> An important take-away from that Webinar, titled </w:t>
      </w:r>
      <w:r w:rsidR="005423BE">
        <w:rPr>
          <w:sz w:val="24"/>
          <w:szCs w:val="24"/>
        </w:rPr>
        <w:t xml:space="preserve">CHP’s Role </w:t>
      </w:r>
      <w:proofErr w:type="gramStart"/>
      <w:r w:rsidR="005423BE">
        <w:rPr>
          <w:sz w:val="24"/>
          <w:szCs w:val="24"/>
        </w:rPr>
        <w:t>In</w:t>
      </w:r>
      <w:proofErr w:type="gramEnd"/>
      <w:r w:rsidR="005423BE">
        <w:rPr>
          <w:sz w:val="24"/>
          <w:szCs w:val="24"/>
        </w:rPr>
        <w:t xml:space="preserve"> Decarbonization, </w:t>
      </w:r>
      <w:r w:rsidR="00746268">
        <w:rPr>
          <w:sz w:val="24"/>
          <w:szCs w:val="24"/>
        </w:rPr>
        <w:t>was th</w:t>
      </w:r>
      <w:r w:rsidR="000F05DC">
        <w:rPr>
          <w:sz w:val="24"/>
          <w:szCs w:val="24"/>
        </w:rPr>
        <w:t>e following</w:t>
      </w:r>
      <w:r w:rsidR="00746268">
        <w:rPr>
          <w:sz w:val="24"/>
          <w:szCs w:val="24"/>
        </w:rPr>
        <w:t xml:space="preserve"> </w:t>
      </w:r>
      <w:r w:rsidR="00AD386F">
        <w:rPr>
          <w:sz w:val="24"/>
          <w:szCs w:val="24"/>
        </w:rPr>
        <w:t>observation</w:t>
      </w:r>
      <w:r w:rsidR="000F05DC">
        <w:rPr>
          <w:sz w:val="24"/>
          <w:szCs w:val="24"/>
        </w:rPr>
        <w:t>:</w:t>
      </w:r>
    </w:p>
    <w:p w14:paraId="7CB914FE" w14:textId="5AE8AFA8" w:rsidR="00746268" w:rsidRPr="00200C2D" w:rsidRDefault="00746268" w:rsidP="002740D5">
      <w:pPr>
        <w:ind w:firstLine="360"/>
        <w:rPr>
          <w:sz w:val="24"/>
          <w:szCs w:val="24"/>
        </w:rPr>
      </w:pPr>
      <w:r w:rsidRPr="005349E4">
        <w:rPr>
          <w:i/>
          <w:iCs/>
          <w:sz w:val="24"/>
          <w:szCs w:val="24"/>
        </w:rPr>
        <w:t>The Grid in Transition engenders a set of new market initiatives that will likely create revenue opportunities in the future for CHP. Mike Swider</w:t>
      </w:r>
      <w:r w:rsidR="008540D5" w:rsidRPr="005349E4">
        <w:rPr>
          <w:i/>
          <w:iCs/>
          <w:sz w:val="24"/>
          <w:szCs w:val="24"/>
        </w:rPr>
        <w:t xml:space="preserve">, Senior Market Specialist, </w:t>
      </w:r>
      <w:r w:rsidR="00AD386F" w:rsidRPr="005349E4">
        <w:rPr>
          <w:i/>
          <w:iCs/>
          <w:sz w:val="24"/>
          <w:szCs w:val="24"/>
        </w:rPr>
        <w:t>NYISO pointed</w:t>
      </w:r>
      <w:r w:rsidRPr="005349E4">
        <w:rPr>
          <w:i/>
          <w:iCs/>
          <w:sz w:val="24"/>
          <w:szCs w:val="24"/>
        </w:rPr>
        <w:t xml:space="preserve"> out that to the extent that a Combined Heat Power resource can follow a NYISO dispatch signal it can participate by selling energy, </w:t>
      </w:r>
      <w:proofErr w:type="gramStart"/>
      <w:r w:rsidRPr="005349E4">
        <w:rPr>
          <w:i/>
          <w:iCs/>
          <w:sz w:val="24"/>
          <w:szCs w:val="24"/>
        </w:rPr>
        <w:t>reserves</w:t>
      </w:r>
      <w:proofErr w:type="gramEnd"/>
      <w:r w:rsidRPr="005349E4">
        <w:rPr>
          <w:i/>
          <w:iCs/>
          <w:sz w:val="24"/>
          <w:szCs w:val="24"/>
        </w:rPr>
        <w:t xml:space="preserve"> and </w:t>
      </w:r>
      <w:r w:rsidR="006C6CF2" w:rsidRPr="005349E4">
        <w:rPr>
          <w:i/>
          <w:iCs/>
          <w:sz w:val="24"/>
          <w:szCs w:val="24"/>
        </w:rPr>
        <w:t>capacity Furthermore</w:t>
      </w:r>
      <w:r w:rsidRPr="005349E4">
        <w:rPr>
          <w:i/>
          <w:iCs/>
          <w:sz w:val="24"/>
          <w:szCs w:val="24"/>
        </w:rPr>
        <w:t>, these resources will be needed in significant capacity, so that the opportunity created is extensive.</w:t>
      </w:r>
      <w:r w:rsidR="00F31331">
        <w:rPr>
          <w:rStyle w:val="FootnoteReference"/>
          <w:sz w:val="24"/>
          <w:szCs w:val="24"/>
        </w:rPr>
        <w:footnoteReference w:id="18"/>
      </w:r>
    </w:p>
    <w:p w14:paraId="2586755D" w14:textId="1AB0AF9D" w:rsidR="00135F00" w:rsidRPr="00200C2D" w:rsidRDefault="00135F00" w:rsidP="002740D5">
      <w:pPr>
        <w:shd w:val="clear" w:color="auto" w:fill="FFFFFF"/>
        <w:spacing w:after="100" w:afterAutospacing="1" w:line="240" w:lineRule="auto"/>
        <w:ind w:firstLine="360"/>
        <w:rPr>
          <w:rFonts w:eastAsia="Times New Roman" w:cstheme="minorHAnsi"/>
          <w:color w:val="1B1B1B"/>
          <w:sz w:val="24"/>
          <w:szCs w:val="24"/>
        </w:rPr>
      </w:pPr>
      <w:r w:rsidRPr="00200C2D">
        <w:rPr>
          <w:rFonts w:eastAsia="Times New Roman" w:cstheme="minorHAnsi"/>
          <w:color w:val="1B1B1B"/>
          <w:sz w:val="24"/>
          <w:szCs w:val="24"/>
        </w:rPr>
        <w:t>The U.S Environmental Protection Agency (EPA)</w:t>
      </w:r>
      <w:r w:rsidRPr="00200C2D">
        <w:rPr>
          <w:rFonts w:cstheme="minorHAnsi"/>
          <w:sz w:val="24"/>
          <w:szCs w:val="24"/>
        </w:rPr>
        <w:t xml:space="preserve"> </w:t>
      </w:r>
      <w:r w:rsidRPr="00200C2D">
        <w:rPr>
          <w:rFonts w:eastAsia="Times New Roman" w:cstheme="minorHAnsi"/>
          <w:color w:val="1B1B1B"/>
          <w:sz w:val="24"/>
          <w:szCs w:val="24"/>
        </w:rPr>
        <w:t>Combined Heat and Power (CHP) Partnership identifies CHP's Role in Decarbonization as the following</w:t>
      </w:r>
      <w:r w:rsidR="007D785B">
        <w:rPr>
          <w:rFonts w:eastAsia="Times New Roman" w:cstheme="minorHAnsi"/>
          <w:color w:val="1B1B1B"/>
          <w:sz w:val="24"/>
          <w:szCs w:val="24"/>
        </w:rPr>
        <w:t>:</w:t>
      </w:r>
      <w:r w:rsidRPr="00200C2D">
        <w:rPr>
          <w:rStyle w:val="FootnoteReference"/>
          <w:rFonts w:eastAsia="Times New Roman" w:cstheme="minorHAnsi"/>
          <w:color w:val="1B1B1B"/>
          <w:sz w:val="24"/>
          <w:szCs w:val="24"/>
        </w:rPr>
        <w:footnoteReference w:id="19"/>
      </w:r>
    </w:p>
    <w:p w14:paraId="3251412F" w14:textId="77777777" w:rsidR="00135F00" w:rsidRPr="00200C2D" w:rsidRDefault="00E53B77" w:rsidP="002740D5">
      <w:pPr>
        <w:numPr>
          <w:ilvl w:val="0"/>
          <w:numId w:val="9"/>
        </w:numPr>
        <w:shd w:val="clear" w:color="auto" w:fill="FFFFFF"/>
        <w:spacing w:before="100" w:beforeAutospacing="1" w:after="60" w:line="240" w:lineRule="auto"/>
        <w:ind w:firstLine="360"/>
        <w:rPr>
          <w:rFonts w:eastAsia="Times New Roman" w:cstheme="minorHAnsi"/>
          <w:color w:val="1B1B1B"/>
          <w:sz w:val="24"/>
          <w:szCs w:val="24"/>
        </w:rPr>
      </w:pPr>
      <w:hyperlink r:id="rId11" w:anchor="one" w:history="1">
        <w:r w:rsidR="00135F00" w:rsidRPr="00200C2D">
          <w:rPr>
            <w:rFonts w:eastAsia="Times New Roman" w:cstheme="minorHAnsi"/>
            <w:color w:val="005EA2"/>
            <w:sz w:val="24"/>
            <w:szCs w:val="24"/>
            <w:u w:val="single"/>
          </w:rPr>
          <w:t>Reduce emissions while the grid transitions towards cleaner energy.</w:t>
        </w:r>
      </w:hyperlink>
    </w:p>
    <w:p w14:paraId="723E7E17" w14:textId="5B69DA61" w:rsidR="00135F00" w:rsidRPr="00200C2D" w:rsidRDefault="00E53B77" w:rsidP="002740D5">
      <w:pPr>
        <w:numPr>
          <w:ilvl w:val="0"/>
          <w:numId w:val="9"/>
        </w:numPr>
        <w:shd w:val="clear" w:color="auto" w:fill="FFFFFF"/>
        <w:spacing w:before="100" w:beforeAutospacing="1" w:after="60" w:line="240" w:lineRule="auto"/>
        <w:ind w:firstLine="360"/>
        <w:rPr>
          <w:rFonts w:eastAsia="Times New Roman" w:cstheme="minorHAnsi"/>
          <w:color w:val="1B1B1B"/>
          <w:sz w:val="24"/>
          <w:szCs w:val="24"/>
        </w:rPr>
      </w:pPr>
      <w:hyperlink r:id="rId12" w:anchor="two" w:history="1">
        <w:r w:rsidR="00135F00" w:rsidRPr="00200C2D">
          <w:rPr>
            <w:rFonts w:eastAsia="Times New Roman" w:cstheme="minorHAnsi"/>
            <w:color w:val="005EA2"/>
            <w:sz w:val="24"/>
            <w:szCs w:val="24"/>
            <w:u w:val="single"/>
          </w:rPr>
          <w:t xml:space="preserve">Support solar and wind power resources in microgrids to increase on-site reliability </w:t>
        </w:r>
        <w:r w:rsidR="004C5F1D">
          <w:rPr>
            <w:rFonts w:eastAsia="Times New Roman" w:cstheme="minorHAnsi"/>
            <w:color w:val="005EA2"/>
            <w:sz w:val="24"/>
            <w:szCs w:val="24"/>
            <w:u w:val="single"/>
          </w:rPr>
          <w:br/>
        </w:r>
        <w:r w:rsidR="00135F00" w:rsidRPr="00200C2D">
          <w:rPr>
            <w:rFonts w:eastAsia="Times New Roman" w:cstheme="minorHAnsi"/>
            <w:color w:val="005EA2"/>
            <w:sz w:val="24"/>
            <w:szCs w:val="24"/>
            <w:u w:val="single"/>
          </w:rPr>
          <w:t>and</w:t>
        </w:r>
        <w:r w:rsidR="004C5F1D">
          <w:rPr>
            <w:rFonts w:eastAsia="Times New Roman" w:cstheme="minorHAnsi"/>
            <w:color w:val="005EA2"/>
            <w:sz w:val="24"/>
            <w:szCs w:val="24"/>
            <w:u w:val="single"/>
          </w:rPr>
          <w:t xml:space="preserve"> </w:t>
        </w:r>
        <w:r w:rsidR="00135F00" w:rsidRPr="00200C2D">
          <w:rPr>
            <w:rFonts w:eastAsia="Times New Roman" w:cstheme="minorHAnsi"/>
            <w:color w:val="005EA2"/>
            <w:sz w:val="24"/>
            <w:szCs w:val="24"/>
            <w:u w:val="single"/>
          </w:rPr>
          <w:t>resiliency.</w:t>
        </w:r>
      </w:hyperlink>
    </w:p>
    <w:p w14:paraId="62782646" w14:textId="77777777" w:rsidR="00135F00" w:rsidRPr="00200C2D" w:rsidRDefault="00E53B77" w:rsidP="002740D5">
      <w:pPr>
        <w:numPr>
          <w:ilvl w:val="0"/>
          <w:numId w:val="9"/>
        </w:numPr>
        <w:shd w:val="clear" w:color="auto" w:fill="FFFFFF"/>
        <w:spacing w:before="100" w:beforeAutospacing="1" w:after="0" w:line="240" w:lineRule="auto"/>
        <w:ind w:firstLine="360"/>
        <w:rPr>
          <w:rFonts w:eastAsia="Times New Roman" w:cstheme="minorHAnsi"/>
          <w:color w:val="1B1B1B"/>
          <w:sz w:val="24"/>
          <w:szCs w:val="24"/>
        </w:rPr>
      </w:pPr>
      <w:hyperlink r:id="rId13" w:anchor="three" w:history="1">
        <w:r w:rsidR="00135F00" w:rsidRPr="00200C2D">
          <w:rPr>
            <w:rFonts w:eastAsia="Times New Roman" w:cstheme="minorHAnsi"/>
            <w:color w:val="005EA2"/>
            <w:sz w:val="24"/>
            <w:szCs w:val="24"/>
            <w:u w:val="single"/>
          </w:rPr>
          <w:t>Reduce emissions in sectors that are hard to decarbonize.</w:t>
        </w:r>
      </w:hyperlink>
    </w:p>
    <w:p w14:paraId="36613741" w14:textId="77777777" w:rsidR="00135F00" w:rsidRPr="00200C2D" w:rsidRDefault="00135F00" w:rsidP="002740D5">
      <w:pPr>
        <w:spacing w:after="223" w:line="251" w:lineRule="auto"/>
        <w:ind w:left="-5" w:right="17" w:firstLine="360"/>
        <w:rPr>
          <w:rFonts w:eastAsia="Times New Roman" w:cstheme="minorHAnsi"/>
          <w:color w:val="000000"/>
          <w:sz w:val="24"/>
          <w:szCs w:val="24"/>
        </w:rPr>
      </w:pPr>
    </w:p>
    <w:p w14:paraId="18452BED" w14:textId="410A2FC3" w:rsidR="00200C2D" w:rsidRPr="00200C2D" w:rsidRDefault="00200C2D" w:rsidP="002740D5">
      <w:pPr>
        <w:tabs>
          <w:tab w:val="left" w:pos="1020"/>
        </w:tabs>
        <w:ind w:firstLine="360"/>
        <w:rPr>
          <w:sz w:val="24"/>
          <w:szCs w:val="24"/>
        </w:rPr>
      </w:pPr>
      <w:r w:rsidRPr="00200C2D">
        <w:rPr>
          <w:sz w:val="24"/>
          <w:szCs w:val="24"/>
        </w:rPr>
        <w:lastRenderedPageBreak/>
        <w:t>As stated in a 2020 report by US DOE</w:t>
      </w:r>
      <w:r w:rsidR="000F05DC">
        <w:rPr>
          <w:rStyle w:val="FootnoteReference"/>
          <w:sz w:val="24"/>
          <w:szCs w:val="24"/>
        </w:rPr>
        <w:footnoteReference w:id="20"/>
      </w:r>
      <w:r w:rsidRPr="00200C2D">
        <w:rPr>
          <w:sz w:val="24"/>
          <w:szCs w:val="24"/>
        </w:rPr>
        <w:t>, Combined Heat and Power (CHP) supports the integration of variable renewable energy</w:t>
      </w:r>
    </w:p>
    <w:p w14:paraId="53A5F08F" w14:textId="20935F30" w:rsidR="00200C2D" w:rsidRPr="00200C2D" w:rsidRDefault="00200C2D" w:rsidP="002740D5">
      <w:pPr>
        <w:tabs>
          <w:tab w:val="left" w:pos="1020"/>
        </w:tabs>
        <w:ind w:firstLine="360"/>
        <w:rPr>
          <w:sz w:val="24"/>
          <w:szCs w:val="24"/>
        </w:rPr>
      </w:pPr>
      <w:r w:rsidRPr="00200C2D">
        <w:rPr>
          <w:sz w:val="24"/>
          <w:szCs w:val="24"/>
        </w:rPr>
        <w:t>“</w:t>
      </w:r>
      <w:r w:rsidRPr="00200C2D">
        <w:rPr>
          <w:i/>
          <w:iCs/>
          <w:sz w:val="24"/>
          <w:szCs w:val="24"/>
        </w:rPr>
        <w:t>Growing markets for CHP include hybrid installations and microgrids that integrate CHP with other distributed energy resources, including solar and storage. In these configurations, CHP can ramp up and down</w:t>
      </w:r>
      <w:r w:rsidR="00501089">
        <w:rPr>
          <w:i/>
          <w:iCs/>
          <w:sz w:val="24"/>
          <w:szCs w:val="24"/>
        </w:rPr>
        <w:t xml:space="preserve"> </w:t>
      </w:r>
      <w:r w:rsidRPr="00200C2D">
        <w:rPr>
          <w:i/>
          <w:iCs/>
          <w:sz w:val="24"/>
          <w:szCs w:val="24"/>
        </w:rPr>
        <w:t>to balance variable generation as part of an on-site microgrid or in support of the local distribution grid, increasing the capacity to accommodate more renewable energy</w:t>
      </w:r>
      <w:r w:rsidRPr="00200C2D">
        <w:rPr>
          <w:sz w:val="24"/>
          <w:szCs w:val="24"/>
        </w:rPr>
        <w:t>”.</w:t>
      </w:r>
    </w:p>
    <w:p w14:paraId="6C14A760" w14:textId="6D050EE8" w:rsidR="002A29D2" w:rsidRPr="006A6AEB" w:rsidRDefault="00BD2E30" w:rsidP="002740D5">
      <w:pPr>
        <w:ind w:firstLine="360"/>
        <w:rPr>
          <w:sz w:val="24"/>
          <w:szCs w:val="24"/>
        </w:rPr>
      </w:pPr>
      <w:r w:rsidRPr="006A6AEB">
        <w:rPr>
          <w:sz w:val="24"/>
          <w:szCs w:val="24"/>
        </w:rPr>
        <w:t xml:space="preserve">Pilots and demonstration projects can help develop CHP with </w:t>
      </w:r>
      <w:r w:rsidR="00B87CD3">
        <w:rPr>
          <w:sz w:val="24"/>
          <w:szCs w:val="24"/>
        </w:rPr>
        <w:t>low carbon</w:t>
      </w:r>
      <w:r w:rsidRPr="006A6AEB">
        <w:rPr>
          <w:sz w:val="24"/>
          <w:szCs w:val="24"/>
        </w:rPr>
        <w:t xml:space="preserve"> fuels and </w:t>
      </w:r>
      <w:r w:rsidR="00C6530A" w:rsidRPr="006A6AEB">
        <w:rPr>
          <w:sz w:val="24"/>
          <w:szCs w:val="24"/>
        </w:rPr>
        <w:t xml:space="preserve">demonstrate </w:t>
      </w:r>
      <w:r w:rsidRPr="006A6AEB">
        <w:rPr>
          <w:sz w:val="24"/>
          <w:szCs w:val="24"/>
        </w:rPr>
        <w:t xml:space="preserve">its potential in </w:t>
      </w:r>
      <w:r w:rsidR="0022038C" w:rsidRPr="006A6AEB">
        <w:rPr>
          <w:sz w:val="24"/>
          <w:szCs w:val="24"/>
        </w:rPr>
        <w:t xml:space="preserve">providing crucial </w:t>
      </w:r>
      <w:r w:rsidR="002469B3" w:rsidRPr="006A6AEB">
        <w:rPr>
          <w:sz w:val="24"/>
          <w:szCs w:val="24"/>
        </w:rPr>
        <w:t xml:space="preserve">stability and </w:t>
      </w:r>
      <w:r w:rsidR="0022038C" w:rsidRPr="006A6AEB">
        <w:rPr>
          <w:sz w:val="24"/>
          <w:szCs w:val="24"/>
        </w:rPr>
        <w:t>reliability</w:t>
      </w:r>
      <w:r w:rsidRPr="006A6AEB">
        <w:rPr>
          <w:sz w:val="24"/>
          <w:szCs w:val="24"/>
        </w:rPr>
        <w:t xml:space="preserve"> </w:t>
      </w:r>
      <w:r w:rsidR="002469B3" w:rsidRPr="006A6AEB">
        <w:rPr>
          <w:sz w:val="24"/>
          <w:szCs w:val="24"/>
        </w:rPr>
        <w:t xml:space="preserve">for </w:t>
      </w:r>
      <w:r w:rsidRPr="006A6AEB">
        <w:rPr>
          <w:sz w:val="24"/>
          <w:szCs w:val="24"/>
        </w:rPr>
        <w:t>an all-</w:t>
      </w:r>
      <w:r w:rsidR="00C6530A" w:rsidRPr="006A6AEB">
        <w:rPr>
          <w:sz w:val="24"/>
          <w:szCs w:val="24"/>
        </w:rPr>
        <w:t xml:space="preserve">renewable </w:t>
      </w:r>
      <w:r w:rsidRPr="006A6AEB">
        <w:rPr>
          <w:sz w:val="24"/>
          <w:szCs w:val="24"/>
        </w:rPr>
        <w:t>grid.</w:t>
      </w:r>
      <w:r w:rsidR="00792B98" w:rsidRPr="006A6AEB">
        <w:rPr>
          <w:sz w:val="24"/>
          <w:szCs w:val="24"/>
        </w:rPr>
        <w:t xml:space="preserve"> </w:t>
      </w:r>
      <w:r w:rsidR="00BA4DFC" w:rsidRPr="006A6AEB">
        <w:rPr>
          <w:sz w:val="24"/>
          <w:szCs w:val="24"/>
        </w:rPr>
        <w:t xml:space="preserve">CHP can provide the DEFR needs of the grid while simultaneously </w:t>
      </w:r>
      <w:r w:rsidR="00792B98" w:rsidRPr="006A6AEB">
        <w:rPr>
          <w:sz w:val="24"/>
          <w:szCs w:val="24"/>
        </w:rPr>
        <w:t>reduc</w:t>
      </w:r>
      <w:r w:rsidR="00A9592A" w:rsidRPr="006A6AEB">
        <w:rPr>
          <w:sz w:val="24"/>
          <w:szCs w:val="24"/>
        </w:rPr>
        <w:t>ing</w:t>
      </w:r>
      <w:r w:rsidR="00792B98" w:rsidRPr="006A6AEB">
        <w:rPr>
          <w:sz w:val="24"/>
          <w:szCs w:val="24"/>
        </w:rPr>
        <w:t xml:space="preserve"> otherwise onerous winter peaks. </w:t>
      </w:r>
      <w:r w:rsidR="00204993" w:rsidRPr="006A6AEB">
        <w:rPr>
          <w:sz w:val="24"/>
          <w:szCs w:val="24"/>
        </w:rPr>
        <w:t xml:space="preserve">The non-carbon future includes and relies on DEFRs, and CHP </w:t>
      </w:r>
      <w:r w:rsidR="00527548">
        <w:rPr>
          <w:sz w:val="24"/>
          <w:szCs w:val="24"/>
        </w:rPr>
        <w:t>can</w:t>
      </w:r>
      <w:r w:rsidR="00204993" w:rsidRPr="006A6AEB">
        <w:rPr>
          <w:sz w:val="24"/>
          <w:szCs w:val="24"/>
        </w:rPr>
        <w:t xml:space="preserve"> provide that service.</w:t>
      </w:r>
      <w:r w:rsidR="006E3627" w:rsidRPr="006A6AEB">
        <w:rPr>
          <w:sz w:val="24"/>
          <w:szCs w:val="24"/>
        </w:rPr>
        <w:t xml:space="preserve"> No matter the fuel </w:t>
      </w:r>
      <w:r w:rsidR="00075157" w:rsidRPr="006A6AEB">
        <w:rPr>
          <w:sz w:val="24"/>
          <w:szCs w:val="24"/>
        </w:rPr>
        <w:t xml:space="preserve">of </w:t>
      </w:r>
      <w:r w:rsidR="006E3627" w:rsidRPr="006A6AEB">
        <w:rPr>
          <w:sz w:val="24"/>
          <w:szCs w:val="24"/>
        </w:rPr>
        <w:t>choice</w:t>
      </w:r>
      <w:r w:rsidR="00D220E4" w:rsidRPr="006A6AEB">
        <w:rPr>
          <w:sz w:val="24"/>
          <w:szCs w:val="24"/>
        </w:rPr>
        <w:t>,</w:t>
      </w:r>
      <w:r w:rsidR="006E3627" w:rsidRPr="006A6AEB">
        <w:rPr>
          <w:sz w:val="24"/>
          <w:szCs w:val="24"/>
        </w:rPr>
        <w:t xml:space="preserve"> hydrogen, biogas, natural gas, or blends thereof, CHP is more efficient and emits less than central generation powerplants using the same fuel.</w:t>
      </w:r>
    </w:p>
    <w:sectPr w:rsidR="002A29D2" w:rsidRPr="006A6AEB" w:rsidSect="006913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2A6B3" w14:textId="77777777" w:rsidR="00C124C6" w:rsidRDefault="00C124C6" w:rsidP="00D8201A">
      <w:pPr>
        <w:spacing w:after="0" w:line="240" w:lineRule="auto"/>
      </w:pPr>
      <w:r>
        <w:separator/>
      </w:r>
    </w:p>
  </w:endnote>
  <w:endnote w:type="continuationSeparator" w:id="0">
    <w:p w14:paraId="7136437A" w14:textId="77777777" w:rsidR="00C124C6" w:rsidRDefault="00C124C6" w:rsidP="00D82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6A112" w14:textId="77777777" w:rsidR="00C124C6" w:rsidRDefault="00C124C6" w:rsidP="00D8201A">
      <w:pPr>
        <w:spacing w:after="0" w:line="240" w:lineRule="auto"/>
      </w:pPr>
      <w:r>
        <w:separator/>
      </w:r>
    </w:p>
  </w:footnote>
  <w:footnote w:type="continuationSeparator" w:id="0">
    <w:p w14:paraId="34735454" w14:textId="77777777" w:rsidR="00C124C6" w:rsidRDefault="00C124C6" w:rsidP="00D8201A">
      <w:pPr>
        <w:spacing w:after="0" w:line="240" w:lineRule="auto"/>
      </w:pPr>
      <w:r>
        <w:continuationSeparator/>
      </w:r>
    </w:p>
  </w:footnote>
  <w:footnote w:id="1">
    <w:p w14:paraId="74678FF8" w14:textId="2ECA0D5C" w:rsidR="00415344" w:rsidRDefault="00415344">
      <w:pPr>
        <w:pStyle w:val="FootnoteText"/>
      </w:pPr>
      <w:r>
        <w:rPr>
          <w:rStyle w:val="FootnoteReference"/>
        </w:rPr>
        <w:footnoteRef/>
      </w:r>
      <w:r>
        <w:t xml:space="preserve"> </w:t>
      </w:r>
      <w:r w:rsidR="00791CDD">
        <w:t xml:space="preserve">Source: </w:t>
      </w:r>
      <w:hyperlink r:id="rId1" w:history="1">
        <w:r w:rsidR="00776780" w:rsidRPr="00D84475">
          <w:rPr>
            <w:rStyle w:val="Hyperlink"/>
          </w:rPr>
          <w:t>https://climate.ny.gov/Our-Climate-Act/Climate-Justice-Working-Group</w:t>
        </w:r>
      </w:hyperlink>
      <w:r w:rsidR="00776780">
        <w:t xml:space="preserve"> Accessed June 5,2022</w:t>
      </w:r>
    </w:p>
  </w:footnote>
  <w:footnote w:id="2">
    <w:p w14:paraId="7A2FA011" w14:textId="7FD6CB40" w:rsidR="00BA25CA" w:rsidRDefault="00BA25CA" w:rsidP="00906950">
      <w:pPr>
        <w:pStyle w:val="FootnoteText"/>
      </w:pPr>
      <w:r>
        <w:rPr>
          <w:rStyle w:val="FootnoteReference"/>
        </w:rPr>
        <w:footnoteRef/>
      </w:r>
      <w:r>
        <w:t xml:space="preserve"> Source:</w:t>
      </w:r>
      <w:r w:rsidR="00906950">
        <w:t xml:space="preserve"> Grid in Transition: DEFRs and Dispatchability. Mike Swider, Senior Market Design Specialist NYISO. </w:t>
      </w:r>
      <w:r>
        <w:t xml:space="preserve"> Projected CLCPA Winter Energy Production by Resource Type. DEFR’s 10%. </w:t>
      </w:r>
      <w:r w:rsidR="00906950">
        <w:t>NECHPI Town Hall, January 27,2022</w:t>
      </w:r>
    </w:p>
  </w:footnote>
  <w:footnote w:id="3">
    <w:p w14:paraId="35B5AF3C" w14:textId="77777777" w:rsidR="00DE479F" w:rsidRDefault="00DE479F" w:rsidP="00DE479F">
      <w:pPr>
        <w:pStyle w:val="FootnoteText"/>
      </w:pPr>
      <w:r>
        <w:rPr>
          <w:rStyle w:val="FootnoteReference"/>
        </w:rPr>
        <w:footnoteRef/>
      </w:r>
      <w:r>
        <w:t xml:space="preserve"> New York State Climate Action Council Draft Scoping Plan. December 30, 2021. Figure 5. Level of Transformation by Mitigation Scenario. Page 71.</w:t>
      </w:r>
    </w:p>
  </w:footnote>
  <w:footnote w:id="4">
    <w:p w14:paraId="439F522F" w14:textId="77777777" w:rsidR="0099255C" w:rsidRDefault="0099255C" w:rsidP="0099255C">
      <w:pPr>
        <w:pStyle w:val="FootnoteText"/>
      </w:pPr>
      <w:r>
        <w:rPr>
          <w:rStyle w:val="FootnoteReference"/>
        </w:rPr>
        <w:footnoteRef/>
      </w:r>
      <w:r>
        <w:t xml:space="preserve"> </w:t>
      </w:r>
      <w:r w:rsidRPr="00987E6A">
        <w:t>Source DOE. 2017. Combined Heat and Power Technology Fact Sheet Series: Overview of CHP Technologies. May. Advanced Manufacturing Office. https://betterbuildingssolutioncenter.energy.gov/sites/default/files/attachments/CHP%20Overview120817_compliant_0.pdf</w:t>
      </w:r>
    </w:p>
  </w:footnote>
  <w:footnote w:id="5">
    <w:p w14:paraId="5CDF0F2F" w14:textId="7D0C701A" w:rsidR="00F61E75" w:rsidRDefault="00F61E75" w:rsidP="00F61E75">
      <w:pPr>
        <w:pStyle w:val="FootnoteText"/>
      </w:pPr>
      <w:r>
        <w:rPr>
          <w:rStyle w:val="FootnoteReference"/>
        </w:rPr>
        <w:footnoteRef/>
      </w:r>
      <w:r>
        <w:t xml:space="preserve"> </w:t>
      </w:r>
      <w:r w:rsidR="001676F5" w:rsidRPr="001676F5">
        <w:t>Customers, advocacy groups and elected officials oppose ConEd’s proposed double-digit rate increase</w:t>
      </w:r>
      <w:r w:rsidR="001676F5">
        <w:t xml:space="preserve">. Utility Dive. Dive Brief. </w:t>
      </w:r>
      <w:r w:rsidR="00175DCF">
        <w:t>By Robert Walton. Date April 5,2022.</w:t>
      </w:r>
    </w:p>
  </w:footnote>
  <w:footnote w:id="6">
    <w:p w14:paraId="3BE709DB" w14:textId="48F651AE" w:rsidR="00226DD7" w:rsidRDefault="00226DD7">
      <w:pPr>
        <w:pStyle w:val="FootnoteText"/>
      </w:pPr>
      <w:r>
        <w:rPr>
          <w:rStyle w:val="FootnoteReference"/>
        </w:rPr>
        <w:footnoteRef/>
      </w:r>
      <w:r>
        <w:t xml:space="preserve"> Ibid.</w:t>
      </w:r>
    </w:p>
  </w:footnote>
  <w:footnote w:id="7">
    <w:p w14:paraId="04FD34E3" w14:textId="77777777" w:rsidR="001844DA" w:rsidRDefault="001844DA" w:rsidP="001844DA">
      <w:pPr>
        <w:pStyle w:val="FootnoteText"/>
      </w:pPr>
      <w:r>
        <w:rPr>
          <w:rStyle w:val="FootnoteReference"/>
        </w:rPr>
        <w:footnoteRef/>
      </w:r>
      <w:r>
        <w:t xml:space="preserve"> </w:t>
      </w:r>
      <w:r w:rsidRPr="00ED45C0">
        <w:t>Meegan Kelly and Jamie Scripps. 2020. Combined Heat and Power in Integrated Resource Planning: Examples and Planning Considerations. Prepared by ICF for the State and Local Energy Efficiency Action Network.</w:t>
      </w:r>
      <w:r>
        <w:t xml:space="preserve"> Page 5</w:t>
      </w:r>
    </w:p>
  </w:footnote>
  <w:footnote w:id="8">
    <w:p w14:paraId="11D110DA" w14:textId="69DA50FC" w:rsidR="00BB2B45" w:rsidRDefault="00BB2B45">
      <w:pPr>
        <w:pStyle w:val="FootnoteText"/>
      </w:pPr>
      <w:r>
        <w:rPr>
          <w:rStyle w:val="FootnoteReference"/>
        </w:rPr>
        <w:footnoteRef/>
      </w:r>
      <w:r>
        <w:t xml:space="preserve"> Pairing CHP with Solar PV and/or </w:t>
      </w:r>
      <w:r w:rsidR="00657D89">
        <w:t>battery storage or thermal energy storage are examples of hybrid technology solutions</w:t>
      </w:r>
    </w:p>
  </w:footnote>
  <w:footnote w:id="9">
    <w:p w14:paraId="155A6BE4" w14:textId="66413BE6" w:rsidR="007235AA" w:rsidRDefault="007235AA">
      <w:pPr>
        <w:pStyle w:val="FootnoteText"/>
      </w:pPr>
      <w:r>
        <w:rPr>
          <w:rStyle w:val="FootnoteReference"/>
        </w:rPr>
        <w:footnoteRef/>
      </w:r>
      <w:r>
        <w:t xml:space="preserve"> </w:t>
      </w:r>
      <w:r w:rsidRPr="007235AA">
        <w:t>Most NYCHA developments suffered heat and hot water losses this winter</w:t>
      </w:r>
      <w:r w:rsidR="00AC2FB5">
        <w:t xml:space="preserve">. </w:t>
      </w:r>
      <w:r w:rsidR="00AC2FB5" w:rsidRPr="00AC2FB5">
        <w:t xml:space="preserve">By Valeria </w:t>
      </w:r>
      <w:proofErr w:type="spellStart"/>
      <w:r w:rsidR="000F60EF" w:rsidRPr="00AC2FB5">
        <w:t>Ricciulli</w:t>
      </w:r>
      <w:proofErr w:type="spellEnd"/>
      <w:r w:rsidR="000F60EF" w:rsidRPr="00AC2FB5">
        <w:t xml:space="preserve"> Aug</w:t>
      </w:r>
      <w:r w:rsidR="00AC2FB5" w:rsidRPr="00AC2FB5">
        <w:t xml:space="preserve"> 12, 2019, 1:28pm EDT</w:t>
      </w:r>
      <w:r w:rsidR="00F93303">
        <w:t xml:space="preserve">. Curbed New York. </w:t>
      </w:r>
      <w:hyperlink r:id="rId2" w:history="1">
        <w:r w:rsidR="002C1136" w:rsidRPr="00D84475">
          <w:rPr>
            <w:rStyle w:val="Hyperlink"/>
          </w:rPr>
          <w:t>https://ny.curbed.com/2019/8/12/20802116/nycha-heat-outages-hot-water-winter-legal-aid-society</w:t>
        </w:r>
      </w:hyperlink>
      <w:r w:rsidR="002C1136">
        <w:t xml:space="preserve"> accessed June 5, 2022</w:t>
      </w:r>
    </w:p>
  </w:footnote>
  <w:footnote w:id="10">
    <w:p w14:paraId="041647A3" w14:textId="758525BF" w:rsidR="0089340C" w:rsidRDefault="0089340C">
      <w:pPr>
        <w:pStyle w:val="FootnoteText"/>
      </w:pPr>
      <w:r>
        <w:rPr>
          <w:rStyle w:val="FootnoteReference"/>
        </w:rPr>
        <w:footnoteRef/>
      </w:r>
      <w:r>
        <w:t xml:space="preserve"> </w:t>
      </w:r>
      <w:r w:rsidR="00BD235D">
        <w:t xml:space="preserve">Combined Heat and Power in </w:t>
      </w:r>
      <w:r w:rsidR="00057ED0" w:rsidRPr="00057ED0">
        <w:t>Resilience Planning and Policy</w:t>
      </w:r>
      <w:r w:rsidR="00BD235D">
        <w:t xml:space="preserve">: Issue Brief. </w:t>
      </w:r>
      <w:r w:rsidR="00DD2F3B">
        <w:t xml:space="preserve">U.S. Department of Energy: </w:t>
      </w:r>
      <w:r w:rsidR="00CA624F">
        <w:t>Office of Energy Efficiency and Renewable Energy. August 2019. Figure 1. Page 2</w:t>
      </w:r>
    </w:p>
  </w:footnote>
  <w:footnote w:id="11">
    <w:p w14:paraId="44ADD12B" w14:textId="2786C66A" w:rsidR="005E3FAD" w:rsidRDefault="005E3FAD">
      <w:pPr>
        <w:pStyle w:val="FootnoteText"/>
      </w:pPr>
      <w:r>
        <w:rPr>
          <w:rStyle w:val="FootnoteReference"/>
        </w:rPr>
        <w:footnoteRef/>
      </w:r>
      <w:r>
        <w:t xml:space="preserve"> </w:t>
      </w:r>
      <w:r w:rsidR="002471BC" w:rsidRPr="002471BC">
        <w:t>Meegan Kelly and Jamie Scripps. 2020. Combined Heat and Power in Integrated Resource Planning: Examples and Planning Considerations. Prepared by ICF for the State and Local Energy Efficiency Action Network.</w:t>
      </w:r>
      <w:r w:rsidR="00531AF1">
        <w:t xml:space="preserve"> November 2020. Page 21</w:t>
      </w:r>
    </w:p>
  </w:footnote>
  <w:footnote w:id="12">
    <w:p w14:paraId="375C3979" w14:textId="6C0F271F" w:rsidR="00ED75C9" w:rsidRDefault="00ED75C9">
      <w:pPr>
        <w:pStyle w:val="FootnoteText"/>
      </w:pPr>
      <w:r>
        <w:rPr>
          <w:rStyle w:val="FootnoteReference"/>
        </w:rPr>
        <w:footnoteRef/>
      </w:r>
      <w:r>
        <w:t xml:space="preserve"> </w:t>
      </w:r>
      <w:r w:rsidRPr="00ED75C9">
        <w:t xml:space="preserve">New York State Climate Action Council Draft Scoping Plan. December 30, 2021. </w:t>
      </w:r>
      <w:r w:rsidR="00B502BF">
        <w:t xml:space="preserve">Chapter 12. Buildings </w:t>
      </w:r>
      <w:r w:rsidRPr="00ED75C9">
        <w:t xml:space="preserve">Page </w:t>
      </w:r>
      <w:r w:rsidR="00B502BF">
        <w:t>120</w:t>
      </w:r>
      <w:r w:rsidRPr="00ED75C9">
        <w:t>.</w:t>
      </w:r>
    </w:p>
  </w:footnote>
  <w:footnote w:id="13">
    <w:p w14:paraId="53DFCAA9" w14:textId="477E222E" w:rsidR="00E8171F" w:rsidRDefault="00E8171F">
      <w:pPr>
        <w:pStyle w:val="FootnoteText"/>
      </w:pPr>
      <w:r>
        <w:rPr>
          <w:rStyle w:val="FootnoteReference"/>
        </w:rPr>
        <w:footnoteRef/>
      </w:r>
      <w:r>
        <w:t xml:space="preserve"> Ibid., page 121</w:t>
      </w:r>
    </w:p>
  </w:footnote>
  <w:footnote w:id="14">
    <w:p w14:paraId="4765A057" w14:textId="77777777" w:rsidR="000E418B" w:rsidRDefault="000E418B" w:rsidP="000E418B">
      <w:pPr>
        <w:pStyle w:val="FootnoteText"/>
      </w:pPr>
      <w:r>
        <w:rPr>
          <w:rStyle w:val="FootnoteReference"/>
        </w:rPr>
        <w:footnoteRef/>
      </w:r>
      <w:r>
        <w:t xml:space="preserve"> </w:t>
      </w:r>
      <w:r w:rsidRPr="000E418B">
        <w:t>U.S. Department of Energy Combined Heat and Power and Microgrid Installation Databases. Summary CHP data set. Tab State vs Fuel. Source: https://doe.icfwebservices.com/downloads/chp accessed June 1, 2022</w:t>
      </w:r>
    </w:p>
  </w:footnote>
  <w:footnote w:id="15">
    <w:p w14:paraId="08B014D5" w14:textId="078DC4F7" w:rsidR="00A74DD1" w:rsidRDefault="00A74DD1">
      <w:pPr>
        <w:pStyle w:val="FootnoteText"/>
      </w:pPr>
      <w:r>
        <w:rPr>
          <w:rStyle w:val="FootnoteReference"/>
        </w:rPr>
        <w:footnoteRef/>
      </w:r>
      <w:r>
        <w:t xml:space="preserve"> </w:t>
      </w:r>
      <w:r>
        <w:rPr>
          <w:sz w:val="18"/>
          <w:szCs w:val="18"/>
        </w:rPr>
        <w:t>NYSERDA. 2021. New York Power Grid Study. Albany. Accessed at https://www.nyserda.ny.gov/About/Publications/New-York-Power-Grid-Study.</w:t>
      </w:r>
      <w:r w:rsidR="00B41369">
        <w:rPr>
          <w:sz w:val="18"/>
          <w:szCs w:val="18"/>
        </w:rPr>
        <w:t xml:space="preserve"> </w:t>
      </w:r>
    </w:p>
  </w:footnote>
  <w:footnote w:id="16">
    <w:p w14:paraId="612A00B9" w14:textId="46A3B1B5" w:rsidR="00B400FC" w:rsidRDefault="00B400FC">
      <w:pPr>
        <w:pStyle w:val="FootnoteText"/>
      </w:pPr>
      <w:r>
        <w:rPr>
          <w:rStyle w:val="FootnoteReference"/>
        </w:rPr>
        <w:footnoteRef/>
      </w:r>
      <w:r>
        <w:t xml:space="preserve"> </w:t>
      </w:r>
      <w:r w:rsidR="008D225E">
        <w:t xml:space="preserve">NYISO </w:t>
      </w:r>
      <w:r>
        <w:t xml:space="preserve">Climate </w:t>
      </w:r>
      <w:r w:rsidR="008D225E">
        <w:t xml:space="preserve">Change </w:t>
      </w:r>
      <w:r>
        <w:t>Impact and Resilience Study: Phase II</w:t>
      </w:r>
    </w:p>
  </w:footnote>
  <w:footnote w:id="17">
    <w:p w14:paraId="5A9579E0" w14:textId="3F4CFEC4" w:rsidR="00291F04" w:rsidRDefault="00291F04">
      <w:pPr>
        <w:pStyle w:val="FootnoteText"/>
      </w:pPr>
      <w:r>
        <w:rPr>
          <w:rStyle w:val="FootnoteReference"/>
        </w:rPr>
        <w:footnoteRef/>
      </w:r>
      <w:r>
        <w:t xml:space="preserve"> </w:t>
      </w:r>
      <w:r w:rsidRPr="00291F04">
        <w:t xml:space="preserve">Grid in Transition: DEFRs and Dispatchability. Mike Swider Senior Market Specialist, NYISO. Prepared for Northeast CHP Initiative (NECHPI) Webinar CHP’s Role in Decarbonization. January 27, </w:t>
      </w:r>
      <w:r w:rsidR="000F60EF" w:rsidRPr="00291F04">
        <w:t>2022,</w:t>
      </w:r>
      <w:r w:rsidRPr="00291F04">
        <w:t xml:space="preserve"> </w:t>
      </w:r>
      <w:hyperlink r:id="rId3" w:history="1">
        <w:r w:rsidRPr="001B3184">
          <w:rPr>
            <w:rStyle w:val="Hyperlink"/>
          </w:rPr>
          <w:t>https://www.dropbox.com/s/pkxkk6e9mgwoj57/NYISO_GIT_DEFR_CHP_Final.pdf?dl=0</w:t>
        </w:r>
      </w:hyperlink>
      <w:r>
        <w:t xml:space="preserve"> </w:t>
      </w:r>
    </w:p>
  </w:footnote>
  <w:footnote w:id="18">
    <w:p w14:paraId="58F18695" w14:textId="6C17D56B" w:rsidR="00B46BBB" w:rsidRDefault="00F31331" w:rsidP="00B46BBB">
      <w:pPr>
        <w:pStyle w:val="FootnoteText"/>
      </w:pPr>
      <w:r>
        <w:rPr>
          <w:rStyle w:val="FootnoteReference"/>
        </w:rPr>
        <w:footnoteRef/>
      </w:r>
      <w:r>
        <w:t xml:space="preserve"> </w:t>
      </w:r>
      <w:r w:rsidR="00B46BBB">
        <w:t>CHP TAPs Engagement Role in Facilitating New Grid Markets for CHP Services</w:t>
      </w:r>
      <w:r w:rsidR="002740D5">
        <w:t xml:space="preserve">, </w:t>
      </w:r>
    </w:p>
    <w:p w14:paraId="70E282EB" w14:textId="47175F9E" w:rsidR="00F31331" w:rsidRDefault="00B46BBB" w:rsidP="00B46BBB">
      <w:pPr>
        <w:pStyle w:val="FootnoteText"/>
      </w:pPr>
      <w:r>
        <w:t xml:space="preserve">By Tom Bourgeois Director U.S. Department of Energy’s New York New Jersey Combined Heat and Power Technical Assistance Partnership (NY/NJ CHP </w:t>
      </w:r>
      <w:r w:rsidR="00E527F6">
        <w:t>TAP) and</w:t>
      </w:r>
      <w:r>
        <w:t xml:space="preserve"> Joseph O’Brien Applegate NY/NJ CHP TAP. </w:t>
      </w:r>
      <w:r w:rsidR="008B626F">
        <w:t xml:space="preserve">Newsletter, </w:t>
      </w:r>
      <w:r>
        <w:t>March 6, 2022</w:t>
      </w:r>
    </w:p>
  </w:footnote>
  <w:footnote w:id="19">
    <w:p w14:paraId="4A917AB3" w14:textId="77777777" w:rsidR="00135F00" w:rsidRDefault="00135F00" w:rsidP="00135F00">
      <w:pPr>
        <w:pStyle w:val="FootnoteText"/>
      </w:pPr>
      <w:r>
        <w:rPr>
          <w:rStyle w:val="FootnoteReference"/>
        </w:rPr>
        <w:footnoteRef/>
      </w:r>
      <w:r>
        <w:t xml:space="preserve"> Source: </w:t>
      </w:r>
      <w:hyperlink r:id="rId4" w:history="1">
        <w:r w:rsidRPr="00B61E65">
          <w:rPr>
            <w:rStyle w:val="Hyperlink"/>
          </w:rPr>
          <w:t>https://www.epa.gov/chp/chps-role-decarbonization</w:t>
        </w:r>
      </w:hyperlink>
      <w:r>
        <w:t xml:space="preserve">  accessed on June 1, 2022</w:t>
      </w:r>
    </w:p>
  </w:footnote>
  <w:footnote w:id="20">
    <w:p w14:paraId="3ED734BD" w14:textId="77777777" w:rsidR="000F05DC" w:rsidRDefault="000F05DC" w:rsidP="000F05DC">
      <w:pPr>
        <w:pStyle w:val="FootnoteText"/>
      </w:pPr>
      <w:r>
        <w:rPr>
          <w:rStyle w:val="FootnoteReference"/>
        </w:rPr>
        <w:footnoteRef/>
      </w:r>
      <w:r>
        <w:t xml:space="preserve"> </w:t>
      </w:r>
      <w:r w:rsidRPr="00D802C6">
        <w:t>Meegan Kelly and Jamie Scripps. 2020. Combined Heat and Power in Integrated Resource Planning: Examples and Planning Considerations. Prepared by ICF for the State and Local Energy Efficiency Action Network. November 2020. Page</w:t>
      </w:r>
      <w:r>
        <w:t xml:space="preserve"> 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711"/>
    <w:multiLevelType w:val="hybridMultilevel"/>
    <w:tmpl w:val="524EF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65E25"/>
    <w:multiLevelType w:val="hybridMultilevel"/>
    <w:tmpl w:val="0B0E721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1773D79"/>
    <w:multiLevelType w:val="hybridMultilevel"/>
    <w:tmpl w:val="2F8C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217E6"/>
    <w:multiLevelType w:val="hybridMultilevel"/>
    <w:tmpl w:val="ECC4C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A5859"/>
    <w:multiLevelType w:val="hybridMultilevel"/>
    <w:tmpl w:val="56B84AAE"/>
    <w:lvl w:ilvl="0" w:tplc="C33C6D52">
      <w:numFmt w:val="bullet"/>
      <w:lvlText w:val="•"/>
      <w:lvlJc w:val="left"/>
      <w:pPr>
        <w:ind w:left="1080" w:hanging="72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430A3"/>
    <w:multiLevelType w:val="hybridMultilevel"/>
    <w:tmpl w:val="26EC7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E42DAC"/>
    <w:multiLevelType w:val="hybridMultilevel"/>
    <w:tmpl w:val="62026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33C6D52">
      <w:numFmt w:val="bullet"/>
      <w:lvlText w:val="•"/>
      <w:lvlJc w:val="left"/>
      <w:pPr>
        <w:ind w:left="2880" w:hanging="360"/>
      </w:pPr>
      <w:rPr>
        <w:rFonts w:ascii="Calibri" w:eastAsiaTheme="minorHAnsi" w:hAnsi="Calibri" w:cs="Calibri" w:hint="default"/>
        <w:i w:val="0"/>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D4497B"/>
    <w:multiLevelType w:val="multilevel"/>
    <w:tmpl w:val="759A3A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CB023D"/>
    <w:multiLevelType w:val="hybridMultilevel"/>
    <w:tmpl w:val="FA56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4294318">
    <w:abstractNumId w:val="3"/>
  </w:num>
  <w:num w:numId="2" w16cid:durableId="1102335151">
    <w:abstractNumId w:val="5"/>
  </w:num>
  <w:num w:numId="3" w16cid:durableId="525291821">
    <w:abstractNumId w:val="0"/>
  </w:num>
  <w:num w:numId="4" w16cid:durableId="1786192795">
    <w:abstractNumId w:val="1"/>
  </w:num>
  <w:num w:numId="5" w16cid:durableId="1952009004">
    <w:abstractNumId w:val="2"/>
  </w:num>
  <w:num w:numId="6" w16cid:durableId="493498518">
    <w:abstractNumId w:val="6"/>
  </w:num>
  <w:num w:numId="7" w16cid:durableId="1735354746">
    <w:abstractNumId w:val="8"/>
  </w:num>
  <w:num w:numId="8" w16cid:durableId="672490487">
    <w:abstractNumId w:val="4"/>
  </w:num>
  <w:num w:numId="9" w16cid:durableId="5521595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F31"/>
    <w:rsid w:val="00000C7C"/>
    <w:rsid w:val="00005790"/>
    <w:rsid w:val="00005F6C"/>
    <w:rsid w:val="00006CC8"/>
    <w:rsid w:val="00010DCB"/>
    <w:rsid w:val="000203CD"/>
    <w:rsid w:val="0002181C"/>
    <w:rsid w:val="00022125"/>
    <w:rsid w:val="0002277D"/>
    <w:rsid w:val="0002291A"/>
    <w:rsid w:val="000311A0"/>
    <w:rsid w:val="00031A9E"/>
    <w:rsid w:val="00035FCB"/>
    <w:rsid w:val="00036151"/>
    <w:rsid w:val="0003684E"/>
    <w:rsid w:val="00037797"/>
    <w:rsid w:val="0003790B"/>
    <w:rsid w:val="00042480"/>
    <w:rsid w:val="000437BB"/>
    <w:rsid w:val="000477C3"/>
    <w:rsid w:val="000557A2"/>
    <w:rsid w:val="0005606A"/>
    <w:rsid w:val="00057ED0"/>
    <w:rsid w:val="0006082E"/>
    <w:rsid w:val="00061BC0"/>
    <w:rsid w:val="000621BD"/>
    <w:rsid w:val="0006325E"/>
    <w:rsid w:val="0006508A"/>
    <w:rsid w:val="0007094A"/>
    <w:rsid w:val="0007104A"/>
    <w:rsid w:val="0007153C"/>
    <w:rsid w:val="00071999"/>
    <w:rsid w:val="0007308A"/>
    <w:rsid w:val="000750B8"/>
    <w:rsid w:val="00075157"/>
    <w:rsid w:val="00083681"/>
    <w:rsid w:val="00084511"/>
    <w:rsid w:val="00084BD4"/>
    <w:rsid w:val="00086BF0"/>
    <w:rsid w:val="00090AFD"/>
    <w:rsid w:val="00094703"/>
    <w:rsid w:val="000961B8"/>
    <w:rsid w:val="000A0097"/>
    <w:rsid w:val="000A00F7"/>
    <w:rsid w:val="000A1E3D"/>
    <w:rsid w:val="000B0F94"/>
    <w:rsid w:val="000B1574"/>
    <w:rsid w:val="000B1653"/>
    <w:rsid w:val="000B1AB7"/>
    <w:rsid w:val="000B328A"/>
    <w:rsid w:val="000B3411"/>
    <w:rsid w:val="000C4348"/>
    <w:rsid w:val="000D2490"/>
    <w:rsid w:val="000D3E29"/>
    <w:rsid w:val="000D6884"/>
    <w:rsid w:val="000E13F5"/>
    <w:rsid w:val="000E2143"/>
    <w:rsid w:val="000E3140"/>
    <w:rsid w:val="000E38C5"/>
    <w:rsid w:val="000E418B"/>
    <w:rsid w:val="000F05DC"/>
    <w:rsid w:val="000F280A"/>
    <w:rsid w:val="000F320B"/>
    <w:rsid w:val="000F5C88"/>
    <w:rsid w:val="000F60EF"/>
    <w:rsid w:val="00100796"/>
    <w:rsid w:val="0011160C"/>
    <w:rsid w:val="00117A7E"/>
    <w:rsid w:val="00121650"/>
    <w:rsid w:val="00123BA8"/>
    <w:rsid w:val="00123F7D"/>
    <w:rsid w:val="001273AB"/>
    <w:rsid w:val="00130AC2"/>
    <w:rsid w:val="00134973"/>
    <w:rsid w:val="00135F00"/>
    <w:rsid w:val="00140F1A"/>
    <w:rsid w:val="001417EF"/>
    <w:rsid w:val="0015005F"/>
    <w:rsid w:val="00151199"/>
    <w:rsid w:val="001540C1"/>
    <w:rsid w:val="0016488A"/>
    <w:rsid w:val="001676F5"/>
    <w:rsid w:val="00175DCF"/>
    <w:rsid w:val="001776DE"/>
    <w:rsid w:val="00180857"/>
    <w:rsid w:val="0018247A"/>
    <w:rsid w:val="00183CAD"/>
    <w:rsid w:val="00183E6C"/>
    <w:rsid w:val="001844DA"/>
    <w:rsid w:val="00185214"/>
    <w:rsid w:val="001900F1"/>
    <w:rsid w:val="00191085"/>
    <w:rsid w:val="00192A20"/>
    <w:rsid w:val="001A04E4"/>
    <w:rsid w:val="001A4B97"/>
    <w:rsid w:val="001B2C73"/>
    <w:rsid w:val="001B2FA2"/>
    <w:rsid w:val="001B4A1B"/>
    <w:rsid w:val="001B4E3B"/>
    <w:rsid w:val="001C0D45"/>
    <w:rsid w:val="001D0305"/>
    <w:rsid w:val="001D1247"/>
    <w:rsid w:val="001D5D4C"/>
    <w:rsid w:val="001E070C"/>
    <w:rsid w:val="001E0965"/>
    <w:rsid w:val="001E0CAB"/>
    <w:rsid w:val="001E10F8"/>
    <w:rsid w:val="001E3EED"/>
    <w:rsid w:val="001E699C"/>
    <w:rsid w:val="00200C2D"/>
    <w:rsid w:val="00204993"/>
    <w:rsid w:val="00207362"/>
    <w:rsid w:val="00207385"/>
    <w:rsid w:val="00210354"/>
    <w:rsid w:val="0021056F"/>
    <w:rsid w:val="00217F27"/>
    <w:rsid w:val="0022038C"/>
    <w:rsid w:val="002228CE"/>
    <w:rsid w:val="002265FB"/>
    <w:rsid w:val="00226632"/>
    <w:rsid w:val="00226DD7"/>
    <w:rsid w:val="0023178D"/>
    <w:rsid w:val="002317E2"/>
    <w:rsid w:val="00232364"/>
    <w:rsid w:val="002355DF"/>
    <w:rsid w:val="00243956"/>
    <w:rsid w:val="002469B3"/>
    <w:rsid w:val="002471BC"/>
    <w:rsid w:val="002518A4"/>
    <w:rsid w:val="00253CC5"/>
    <w:rsid w:val="00254867"/>
    <w:rsid w:val="00255246"/>
    <w:rsid w:val="002569BE"/>
    <w:rsid w:val="00260D48"/>
    <w:rsid w:val="00264400"/>
    <w:rsid w:val="00270806"/>
    <w:rsid w:val="00271564"/>
    <w:rsid w:val="002740D5"/>
    <w:rsid w:val="00277385"/>
    <w:rsid w:val="00280903"/>
    <w:rsid w:val="0028091C"/>
    <w:rsid w:val="002816D8"/>
    <w:rsid w:val="00283A04"/>
    <w:rsid w:val="002853D9"/>
    <w:rsid w:val="00291F04"/>
    <w:rsid w:val="002A29D2"/>
    <w:rsid w:val="002A2AD3"/>
    <w:rsid w:val="002A50A6"/>
    <w:rsid w:val="002B03EF"/>
    <w:rsid w:val="002B0F45"/>
    <w:rsid w:val="002B1520"/>
    <w:rsid w:val="002B7D62"/>
    <w:rsid w:val="002C0842"/>
    <w:rsid w:val="002C1136"/>
    <w:rsid w:val="002D6AA9"/>
    <w:rsid w:val="002D6CB3"/>
    <w:rsid w:val="002E3483"/>
    <w:rsid w:val="002E4287"/>
    <w:rsid w:val="002E4359"/>
    <w:rsid w:val="002E5E4C"/>
    <w:rsid w:val="002F2729"/>
    <w:rsid w:val="002F72F8"/>
    <w:rsid w:val="00303419"/>
    <w:rsid w:val="00315CBB"/>
    <w:rsid w:val="00325750"/>
    <w:rsid w:val="00326A12"/>
    <w:rsid w:val="00332242"/>
    <w:rsid w:val="00333039"/>
    <w:rsid w:val="00333460"/>
    <w:rsid w:val="00334ADC"/>
    <w:rsid w:val="00336A1A"/>
    <w:rsid w:val="0034267A"/>
    <w:rsid w:val="00344F3A"/>
    <w:rsid w:val="00357C2D"/>
    <w:rsid w:val="003623CD"/>
    <w:rsid w:val="00367B4F"/>
    <w:rsid w:val="00367C3B"/>
    <w:rsid w:val="003749C9"/>
    <w:rsid w:val="00374C7F"/>
    <w:rsid w:val="003752EF"/>
    <w:rsid w:val="00376B7D"/>
    <w:rsid w:val="003773F4"/>
    <w:rsid w:val="00382996"/>
    <w:rsid w:val="00385EE0"/>
    <w:rsid w:val="00390624"/>
    <w:rsid w:val="00392633"/>
    <w:rsid w:val="00392B9E"/>
    <w:rsid w:val="0039305A"/>
    <w:rsid w:val="003A01CB"/>
    <w:rsid w:val="003A2DDB"/>
    <w:rsid w:val="003A3484"/>
    <w:rsid w:val="003A4592"/>
    <w:rsid w:val="003A543C"/>
    <w:rsid w:val="003A6C51"/>
    <w:rsid w:val="003C0DDD"/>
    <w:rsid w:val="003C0E6F"/>
    <w:rsid w:val="003C73AF"/>
    <w:rsid w:val="003D0037"/>
    <w:rsid w:val="003D0A99"/>
    <w:rsid w:val="003E0FEC"/>
    <w:rsid w:val="003E2F99"/>
    <w:rsid w:val="003E7EC7"/>
    <w:rsid w:val="003F210E"/>
    <w:rsid w:val="003F6B71"/>
    <w:rsid w:val="00413CCD"/>
    <w:rsid w:val="00415344"/>
    <w:rsid w:val="0041536C"/>
    <w:rsid w:val="004171F2"/>
    <w:rsid w:val="004172C9"/>
    <w:rsid w:val="00424633"/>
    <w:rsid w:val="00426ED1"/>
    <w:rsid w:val="0043176E"/>
    <w:rsid w:val="00431CA4"/>
    <w:rsid w:val="004405F6"/>
    <w:rsid w:val="00441A26"/>
    <w:rsid w:val="004636C6"/>
    <w:rsid w:val="00463C30"/>
    <w:rsid w:val="00467549"/>
    <w:rsid w:val="00480CBA"/>
    <w:rsid w:val="004910D0"/>
    <w:rsid w:val="00494922"/>
    <w:rsid w:val="00495B36"/>
    <w:rsid w:val="00496592"/>
    <w:rsid w:val="004A7D63"/>
    <w:rsid w:val="004C5F1D"/>
    <w:rsid w:val="004C758B"/>
    <w:rsid w:val="004D17DB"/>
    <w:rsid w:val="004D1AF6"/>
    <w:rsid w:val="004D55E6"/>
    <w:rsid w:val="004E2D2F"/>
    <w:rsid w:val="004F03D6"/>
    <w:rsid w:val="004F0759"/>
    <w:rsid w:val="004F1A59"/>
    <w:rsid w:val="004F7FDA"/>
    <w:rsid w:val="00501089"/>
    <w:rsid w:val="0050300F"/>
    <w:rsid w:val="0050427A"/>
    <w:rsid w:val="00507D90"/>
    <w:rsid w:val="00510AAD"/>
    <w:rsid w:val="00512A26"/>
    <w:rsid w:val="005138BA"/>
    <w:rsid w:val="00514095"/>
    <w:rsid w:val="00514F44"/>
    <w:rsid w:val="00515D40"/>
    <w:rsid w:val="00520D6C"/>
    <w:rsid w:val="0052196B"/>
    <w:rsid w:val="005237DD"/>
    <w:rsid w:val="00527548"/>
    <w:rsid w:val="00527CF9"/>
    <w:rsid w:val="00527D99"/>
    <w:rsid w:val="00531AF1"/>
    <w:rsid w:val="00531F50"/>
    <w:rsid w:val="00533786"/>
    <w:rsid w:val="005349E4"/>
    <w:rsid w:val="005401FE"/>
    <w:rsid w:val="005423BE"/>
    <w:rsid w:val="0054318F"/>
    <w:rsid w:val="00544590"/>
    <w:rsid w:val="00552D2B"/>
    <w:rsid w:val="005576C3"/>
    <w:rsid w:val="00557810"/>
    <w:rsid w:val="00580654"/>
    <w:rsid w:val="005807A2"/>
    <w:rsid w:val="00581A2D"/>
    <w:rsid w:val="00582C50"/>
    <w:rsid w:val="005852AF"/>
    <w:rsid w:val="00587A84"/>
    <w:rsid w:val="00591541"/>
    <w:rsid w:val="0059722C"/>
    <w:rsid w:val="005A0C7B"/>
    <w:rsid w:val="005A32D2"/>
    <w:rsid w:val="005A4894"/>
    <w:rsid w:val="005A6C3C"/>
    <w:rsid w:val="005B04E7"/>
    <w:rsid w:val="005B5637"/>
    <w:rsid w:val="005B62FE"/>
    <w:rsid w:val="005B7450"/>
    <w:rsid w:val="005C1311"/>
    <w:rsid w:val="005C6A0A"/>
    <w:rsid w:val="005D47C8"/>
    <w:rsid w:val="005D53C2"/>
    <w:rsid w:val="005D677B"/>
    <w:rsid w:val="005E091D"/>
    <w:rsid w:val="005E3FAD"/>
    <w:rsid w:val="005E508F"/>
    <w:rsid w:val="005F0A57"/>
    <w:rsid w:val="005F478A"/>
    <w:rsid w:val="00600FA8"/>
    <w:rsid w:val="00601857"/>
    <w:rsid w:val="00604C50"/>
    <w:rsid w:val="00607952"/>
    <w:rsid w:val="00611FE4"/>
    <w:rsid w:val="00612D81"/>
    <w:rsid w:val="00613194"/>
    <w:rsid w:val="00616644"/>
    <w:rsid w:val="00625A20"/>
    <w:rsid w:val="00627D3E"/>
    <w:rsid w:val="0063122A"/>
    <w:rsid w:val="00641D75"/>
    <w:rsid w:val="006465F4"/>
    <w:rsid w:val="006469C3"/>
    <w:rsid w:val="0065116E"/>
    <w:rsid w:val="0065131A"/>
    <w:rsid w:val="00657D89"/>
    <w:rsid w:val="006629DF"/>
    <w:rsid w:val="00664324"/>
    <w:rsid w:val="00665D41"/>
    <w:rsid w:val="006661E4"/>
    <w:rsid w:val="006676F8"/>
    <w:rsid w:val="00667BC0"/>
    <w:rsid w:val="0067090B"/>
    <w:rsid w:val="00671A34"/>
    <w:rsid w:val="00676D60"/>
    <w:rsid w:val="00676DE2"/>
    <w:rsid w:val="006777BD"/>
    <w:rsid w:val="00680F9A"/>
    <w:rsid w:val="00685350"/>
    <w:rsid w:val="00690814"/>
    <w:rsid w:val="00691389"/>
    <w:rsid w:val="00694677"/>
    <w:rsid w:val="00694DC8"/>
    <w:rsid w:val="0069595C"/>
    <w:rsid w:val="00696613"/>
    <w:rsid w:val="006A0AEF"/>
    <w:rsid w:val="006A474F"/>
    <w:rsid w:val="006A6AEB"/>
    <w:rsid w:val="006B309F"/>
    <w:rsid w:val="006B62CF"/>
    <w:rsid w:val="006C2DFE"/>
    <w:rsid w:val="006C4888"/>
    <w:rsid w:val="006C4C4C"/>
    <w:rsid w:val="006C4FB3"/>
    <w:rsid w:val="006C55CB"/>
    <w:rsid w:val="006C6CF2"/>
    <w:rsid w:val="006C7181"/>
    <w:rsid w:val="006D2FBA"/>
    <w:rsid w:val="006D55C5"/>
    <w:rsid w:val="006D758C"/>
    <w:rsid w:val="006D75D5"/>
    <w:rsid w:val="006E3627"/>
    <w:rsid w:val="006E493A"/>
    <w:rsid w:val="006E5EE0"/>
    <w:rsid w:val="006F27A5"/>
    <w:rsid w:val="006F6D6B"/>
    <w:rsid w:val="00712E56"/>
    <w:rsid w:val="00716FB2"/>
    <w:rsid w:val="00717A21"/>
    <w:rsid w:val="007234FB"/>
    <w:rsid w:val="007235AA"/>
    <w:rsid w:val="0072511F"/>
    <w:rsid w:val="00733803"/>
    <w:rsid w:val="00740B33"/>
    <w:rsid w:val="00746052"/>
    <w:rsid w:val="00746268"/>
    <w:rsid w:val="00746C63"/>
    <w:rsid w:val="007503A4"/>
    <w:rsid w:val="0075059F"/>
    <w:rsid w:val="00754390"/>
    <w:rsid w:val="00763935"/>
    <w:rsid w:val="00764628"/>
    <w:rsid w:val="007661CD"/>
    <w:rsid w:val="00776780"/>
    <w:rsid w:val="007858F9"/>
    <w:rsid w:val="0078608D"/>
    <w:rsid w:val="00786C77"/>
    <w:rsid w:val="007912B3"/>
    <w:rsid w:val="0079176A"/>
    <w:rsid w:val="00791CDD"/>
    <w:rsid w:val="00792B98"/>
    <w:rsid w:val="007A181D"/>
    <w:rsid w:val="007B04C3"/>
    <w:rsid w:val="007C26BA"/>
    <w:rsid w:val="007C324F"/>
    <w:rsid w:val="007C5D07"/>
    <w:rsid w:val="007C6A45"/>
    <w:rsid w:val="007D082D"/>
    <w:rsid w:val="007D0A8F"/>
    <w:rsid w:val="007D1B2F"/>
    <w:rsid w:val="007D343C"/>
    <w:rsid w:val="007D690E"/>
    <w:rsid w:val="007D785B"/>
    <w:rsid w:val="007F5076"/>
    <w:rsid w:val="007F6C2F"/>
    <w:rsid w:val="00801FDE"/>
    <w:rsid w:val="00805DE6"/>
    <w:rsid w:val="0080650B"/>
    <w:rsid w:val="00811225"/>
    <w:rsid w:val="008138B4"/>
    <w:rsid w:val="00816E4D"/>
    <w:rsid w:val="00820DAC"/>
    <w:rsid w:val="00822193"/>
    <w:rsid w:val="00822B43"/>
    <w:rsid w:val="00823506"/>
    <w:rsid w:val="008251F4"/>
    <w:rsid w:val="008264AE"/>
    <w:rsid w:val="00827EC0"/>
    <w:rsid w:val="00835FDA"/>
    <w:rsid w:val="00836202"/>
    <w:rsid w:val="00846268"/>
    <w:rsid w:val="00850CD8"/>
    <w:rsid w:val="008532A9"/>
    <w:rsid w:val="008540D5"/>
    <w:rsid w:val="00854DDA"/>
    <w:rsid w:val="008607E5"/>
    <w:rsid w:val="00860C87"/>
    <w:rsid w:val="00860E55"/>
    <w:rsid w:val="00862697"/>
    <w:rsid w:val="00863C05"/>
    <w:rsid w:val="00870517"/>
    <w:rsid w:val="00871378"/>
    <w:rsid w:val="008722FD"/>
    <w:rsid w:val="0087717A"/>
    <w:rsid w:val="00877596"/>
    <w:rsid w:val="00882421"/>
    <w:rsid w:val="0088342F"/>
    <w:rsid w:val="00884247"/>
    <w:rsid w:val="0089340C"/>
    <w:rsid w:val="00893CB8"/>
    <w:rsid w:val="00896409"/>
    <w:rsid w:val="008A483F"/>
    <w:rsid w:val="008A4B82"/>
    <w:rsid w:val="008A5D90"/>
    <w:rsid w:val="008B1CE1"/>
    <w:rsid w:val="008B2B87"/>
    <w:rsid w:val="008B3683"/>
    <w:rsid w:val="008B626F"/>
    <w:rsid w:val="008B79DB"/>
    <w:rsid w:val="008C0CCC"/>
    <w:rsid w:val="008C0EF7"/>
    <w:rsid w:val="008C0F96"/>
    <w:rsid w:val="008C1533"/>
    <w:rsid w:val="008C26CF"/>
    <w:rsid w:val="008C3F85"/>
    <w:rsid w:val="008C40AB"/>
    <w:rsid w:val="008C5F10"/>
    <w:rsid w:val="008C67C3"/>
    <w:rsid w:val="008C7B92"/>
    <w:rsid w:val="008D1D06"/>
    <w:rsid w:val="008D225E"/>
    <w:rsid w:val="008D22CC"/>
    <w:rsid w:val="008D34D1"/>
    <w:rsid w:val="008D674E"/>
    <w:rsid w:val="008E1FAF"/>
    <w:rsid w:val="008E2641"/>
    <w:rsid w:val="008E2970"/>
    <w:rsid w:val="008E30E1"/>
    <w:rsid w:val="008E44AC"/>
    <w:rsid w:val="008F1843"/>
    <w:rsid w:val="008F73CC"/>
    <w:rsid w:val="00901EDE"/>
    <w:rsid w:val="0090367A"/>
    <w:rsid w:val="00905A45"/>
    <w:rsid w:val="00906950"/>
    <w:rsid w:val="00906CD6"/>
    <w:rsid w:val="00913C41"/>
    <w:rsid w:val="0091422D"/>
    <w:rsid w:val="00917A74"/>
    <w:rsid w:val="0092005C"/>
    <w:rsid w:val="00921C24"/>
    <w:rsid w:val="009224C2"/>
    <w:rsid w:val="009236D9"/>
    <w:rsid w:val="009268B4"/>
    <w:rsid w:val="00931183"/>
    <w:rsid w:val="00941042"/>
    <w:rsid w:val="009413B0"/>
    <w:rsid w:val="00941F23"/>
    <w:rsid w:val="00945C96"/>
    <w:rsid w:val="009463BA"/>
    <w:rsid w:val="0094691A"/>
    <w:rsid w:val="0095151C"/>
    <w:rsid w:val="00955E40"/>
    <w:rsid w:val="009622B0"/>
    <w:rsid w:val="009640D7"/>
    <w:rsid w:val="00964696"/>
    <w:rsid w:val="00974044"/>
    <w:rsid w:val="009746D4"/>
    <w:rsid w:val="009774A7"/>
    <w:rsid w:val="00984E82"/>
    <w:rsid w:val="0098654A"/>
    <w:rsid w:val="00986871"/>
    <w:rsid w:val="00987E6A"/>
    <w:rsid w:val="00987F89"/>
    <w:rsid w:val="0099255C"/>
    <w:rsid w:val="00997231"/>
    <w:rsid w:val="009A178B"/>
    <w:rsid w:val="009A6B26"/>
    <w:rsid w:val="009B05CE"/>
    <w:rsid w:val="009B09B4"/>
    <w:rsid w:val="009B1D40"/>
    <w:rsid w:val="009B5C13"/>
    <w:rsid w:val="009C1BE4"/>
    <w:rsid w:val="009C3DC7"/>
    <w:rsid w:val="009D0221"/>
    <w:rsid w:val="009D7A8F"/>
    <w:rsid w:val="009E0348"/>
    <w:rsid w:val="009F1D14"/>
    <w:rsid w:val="009F2D60"/>
    <w:rsid w:val="009F46E0"/>
    <w:rsid w:val="00A02F0D"/>
    <w:rsid w:val="00A03D37"/>
    <w:rsid w:val="00A04034"/>
    <w:rsid w:val="00A10344"/>
    <w:rsid w:val="00A10CD1"/>
    <w:rsid w:val="00A161E6"/>
    <w:rsid w:val="00A20AE1"/>
    <w:rsid w:val="00A20DF8"/>
    <w:rsid w:val="00A26629"/>
    <w:rsid w:val="00A42F63"/>
    <w:rsid w:val="00A44FF2"/>
    <w:rsid w:val="00A450B0"/>
    <w:rsid w:val="00A51131"/>
    <w:rsid w:val="00A515B3"/>
    <w:rsid w:val="00A53970"/>
    <w:rsid w:val="00A570E9"/>
    <w:rsid w:val="00A57B34"/>
    <w:rsid w:val="00A61F85"/>
    <w:rsid w:val="00A64F3E"/>
    <w:rsid w:val="00A66453"/>
    <w:rsid w:val="00A7015C"/>
    <w:rsid w:val="00A7083C"/>
    <w:rsid w:val="00A70B68"/>
    <w:rsid w:val="00A74DD1"/>
    <w:rsid w:val="00A819E2"/>
    <w:rsid w:val="00A8476D"/>
    <w:rsid w:val="00A93C18"/>
    <w:rsid w:val="00A94835"/>
    <w:rsid w:val="00A9592A"/>
    <w:rsid w:val="00A96806"/>
    <w:rsid w:val="00A968F7"/>
    <w:rsid w:val="00AB366B"/>
    <w:rsid w:val="00AB535D"/>
    <w:rsid w:val="00AB76DC"/>
    <w:rsid w:val="00AC2FB5"/>
    <w:rsid w:val="00AD386F"/>
    <w:rsid w:val="00AE25C4"/>
    <w:rsid w:val="00AE64B9"/>
    <w:rsid w:val="00AF2D52"/>
    <w:rsid w:val="00AF31E6"/>
    <w:rsid w:val="00AF51D2"/>
    <w:rsid w:val="00AF7140"/>
    <w:rsid w:val="00B00220"/>
    <w:rsid w:val="00B049B0"/>
    <w:rsid w:val="00B04CE5"/>
    <w:rsid w:val="00B05FD7"/>
    <w:rsid w:val="00B074C2"/>
    <w:rsid w:val="00B07DB7"/>
    <w:rsid w:val="00B11D44"/>
    <w:rsid w:val="00B12264"/>
    <w:rsid w:val="00B14ACC"/>
    <w:rsid w:val="00B219D0"/>
    <w:rsid w:val="00B23DDD"/>
    <w:rsid w:val="00B249E0"/>
    <w:rsid w:val="00B26CBB"/>
    <w:rsid w:val="00B31195"/>
    <w:rsid w:val="00B31378"/>
    <w:rsid w:val="00B33A34"/>
    <w:rsid w:val="00B348A8"/>
    <w:rsid w:val="00B35FEC"/>
    <w:rsid w:val="00B400FC"/>
    <w:rsid w:val="00B41369"/>
    <w:rsid w:val="00B41500"/>
    <w:rsid w:val="00B43451"/>
    <w:rsid w:val="00B46BBB"/>
    <w:rsid w:val="00B502BF"/>
    <w:rsid w:val="00B6039D"/>
    <w:rsid w:val="00B6193B"/>
    <w:rsid w:val="00B650F8"/>
    <w:rsid w:val="00B65C39"/>
    <w:rsid w:val="00B74534"/>
    <w:rsid w:val="00B84713"/>
    <w:rsid w:val="00B85B6E"/>
    <w:rsid w:val="00B872ED"/>
    <w:rsid w:val="00B87CD3"/>
    <w:rsid w:val="00B938D6"/>
    <w:rsid w:val="00BA1806"/>
    <w:rsid w:val="00BA1C4B"/>
    <w:rsid w:val="00BA25CA"/>
    <w:rsid w:val="00BA4DFC"/>
    <w:rsid w:val="00BB1066"/>
    <w:rsid w:val="00BB2B45"/>
    <w:rsid w:val="00BB5DBB"/>
    <w:rsid w:val="00BC0E82"/>
    <w:rsid w:val="00BC0FF8"/>
    <w:rsid w:val="00BD235D"/>
    <w:rsid w:val="00BD2E30"/>
    <w:rsid w:val="00BD5175"/>
    <w:rsid w:val="00BD55B1"/>
    <w:rsid w:val="00BD560D"/>
    <w:rsid w:val="00BD5B21"/>
    <w:rsid w:val="00BD5C9A"/>
    <w:rsid w:val="00BD6356"/>
    <w:rsid w:val="00BE5175"/>
    <w:rsid w:val="00BF1878"/>
    <w:rsid w:val="00BF1C41"/>
    <w:rsid w:val="00BF736B"/>
    <w:rsid w:val="00C10F3F"/>
    <w:rsid w:val="00C124C6"/>
    <w:rsid w:val="00C131EE"/>
    <w:rsid w:val="00C1326D"/>
    <w:rsid w:val="00C135EB"/>
    <w:rsid w:val="00C13930"/>
    <w:rsid w:val="00C13D47"/>
    <w:rsid w:val="00C157FA"/>
    <w:rsid w:val="00C212E4"/>
    <w:rsid w:val="00C23365"/>
    <w:rsid w:val="00C2486A"/>
    <w:rsid w:val="00C318F7"/>
    <w:rsid w:val="00C33772"/>
    <w:rsid w:val="00C33A3F"/>
    <w:rsid w:val="00C34ACC"/>
    <w:rsid w:val="00C3500B"/>
    <w:rsid w:val="00C3795B"/>
    <w:rsid w:val="00C37FC1"/>
    <w:rsid w:val="00C509BB"/>
    <w:rsid w:val="00C53A5A"/>
    <w:rsid w:val="00C54EA9"/>
    <w:rsid w:val="00C558D7"/>
    <w:rsid w:val="00C6530A"/>
    <w:rsid w:val="00C66760"/>
    <w:rsid w:val="00C67A1F"/>
    <w:rsid w:val="00C7105E"/>
    <w:rsid w:val="00C72985"/>
    <w:rsid w:val="00C82A2C"/>
    <w:rsid w:val="00C90DCC"/>
    <w:rsid w:val="00C90DF3"/>
    <w:rsid w:val="00C926BA"/>
    <w:rsid w:val="00C93A0C"/>
    <w:rsid w:val="00C9507B"/>
    <w:rsid w:val="00C97255"/>
    <w:rsid w:val="00CA084B"/>
    <w:rsid w:val="00CA0DF7"/>
    <w:rsid w:val="00CA16A7"/>
    <w:rsid w:val="00CA2454"/>
    <w:rsid w:val="00CA2710"/>
    <w:rsid w:val="00CA624F"/>
    <w:rsid w:val="00CB05DC"/>
    <w:rsid w:val="00CB1955"/>
    <w:rsid w:val="00CB4320"/>
    <w:rsid w:val="00CB5A31"/>
    <w:rsid w:val="00CC05D1"/>
    <w:rsid w:val="00CC06CA"/>
    <w:rsid w:val="00CC3039"/>
    <w:rsid w:val="00CC3D47"/>
    <w:rsid w:val="00CD39E8"/>
    <w:rsid w:val="00CD4916"/>
    <w:rsid w:val="00CD6F74"/>
    <w:rsid w:val="00CE118E"/>
    <w:rsid w:val="00CE25A9"/>
    <w:rsid w:val="00CF2D26"/>
    <w:rsid w:val="00CF3E42"/>
    <w:rsid w:val="00CF59C7"/>
    <w:rsid w:val="00CF790B"/>
    <w:rsid w:val="00D01606"/>
    <w:rsid w:val="00D12512"/>
    <w:rsid w:val="00D12E6E"/>
    <w:rsid w:val="00D15F73"/>
    <w:rsid w:val="00D21B9A"/>
    <w:rsid w:val="00D220E4"/>
    <w:rsid w:val="00D23FF4"/>
    <w:rsid w:val="00D33F15"/>
    <w:rsid w:val="00D37149"/>
    <w:rsid w:val="00D44B87"/>
    <w:rsid w:val="00D46FE7"/>
    <w:rsid w:val="00D51CC0"/>
    <w:rsid w:val="00D52D97"/>
    <w:rsid w:val="00D52DC0"/>
    <w:rsid w:val="00D55F6A"/>
    <w:rsid w:val="00D577E4"/>
    <w:rsid w:val="00D64284"/>
    <w:rsid w:val="00D664EF"/>
    <w:rsid w:val="00D712F2"/>
    <w:rsid w:val="00D727C1"/>
    <w:rsid w:val="00D76778"/>
    <w:rsid w:val="00D802C6"/>
    <w:rsid w:val="00D8201A"/>
    <w:rsid w:val="00D84467"/>
    <w:rsid w:val="00D902D5"/>
    <w:rsid w:val="00D9591C"/>
    <w:rsid w:val="00D969DE"/>
    <w:rsid w:val="00DA0F0D"/>
    <w:rsid w:val="00DA164B"/>
    <w:rsid w:val="00DA2C21"/>
    <w:rsid w:val="00DA3F24"/>
    <w:rsid w:val="00DA6EA4"/>
    <w:rsid w:val="00DA7C58"/>
    <w:rsid w:val="00DB11F7"/>
    <w:rsid w:val="00DB39A1"/>
    <w:rsid w:val="00DB3A49"/>
    <w:rsid w:val="00DB54AD"/>
    <w:rsid w:val="00DB59BA"/>
    <w:rsid w:val="00DD060D"/>
    <w:rsid w:val="00DD2830"/>
    <w:rsid w:val="00DD2F3B"/>
    <w:rsid w:val="00DD3871"/>
    <w:rsid w:val="00DD485F"/>
    <w:rsid w:val="00DD529B"/>
    <w:rsid w:val="00DE3293"/>
    <w:rsid w:val="00DE3FFD"/>
    <w:rsid w:val="00DE42B8"/>
    <w:rsid w:val="00DE479F"/>
    <w:rsid w:val="00DE4BF8"/>
    <w:rsid w:val="00DE681E"/>
    <w:rsid w:val="00DF2A54"/>
    <w:rsid w:val="00DF2E37"/>
    <w:rsid w:val="00DF555F"/>
    <w:rsid w:val="00E04F31"/>
    <w:rsid w:val="00E100C1"/>
    <w:rsid w:val="00E10D0C"/>
    <w:rsid w:val="00E1258B"/>
    <w:rsid w:val="00E2164D"/>
    <w:rsid w:val="00E25531"/>
    <w:rsid w:val="00E27138"/>
    <w:rsid w:val="00E27F70"/>
    <w:rsid w:val="00E31465"/>
    <w:rsid w:val="00E3302F"/>
    <w:rsid w:val="00E37037"/>
    <w:rsid w:val="00E37F90"/>
    <w:rsid w:val="00E40D61"/>
    <w:rsid w:val="00E44F37"/>
    <w:rsid w:val="00E453C1"/>
    <w:rsid w:val="00E527F6"/>
    <w:rsid w:val="00E544C9"/>
    <w:rsid w:val="00E6371C"/>
    <w:rsid w:val="00E67D0B"/>
    <w:rsid w:val="00E67F89"/>
    <w:rsid w:val="00E704EC"/>
    <w:rsid w:val="00E70C34"/>
    <w:rsid w:val="00E720DE"/>
    <w:rsid w:val="00E76D5E"/>
    <w:rsid w:val="00E8115D"/>
    <w:rsid w:val="00E8171F"/>
    <w:rsid w:val="00E81D42"/>
    <w:rsid w:val="00E82B17"/>
    <w:rsid w:val="00E8493E"/>
    <w:rsid w:val="00E87B80"/>
    <w:rsid w:val="00E87DD6"/>
    <w:rsid w:val="00E9013C"/>
    <w:rsid w:val="00E932D0"/>
    <w:rsid w:val="00EA325A"/>
    <w:rsid w:val="00EA7B35"/>
    <w:rsid w:val="00EB201D"/>
    <w:rsid w:val="00EB266A"/>
    <w:rsid w:val="00EB5391"/>
    <w:rsid w:val="00EB5CB2"/>
    <w:rsid w:val="00EB7457"/>
    <w:rsid w:val="00EC00FB"/>
    <w:rsid w:val="00EC1343"/>
    <w:rsid w:val="00EC6F0A"/>
    <w:rsid w:val="00EC7301"/>
    <w:rsid w:val="00ED112A"/>
    <w:rsid w:val="00ED2AF6"/>
    <w:rsid w:val="00ED331D"/>
    <w:rsid w:val="00ED45C0"/>
    <w:rsid w:val="00ED5321"/>
    <w:rsid w:val="00ED75C9"/>
    <w:rsid w:val="00EF1851"/>
    <w:rsid w:val="00EF39C0"/>
    <w:rsid w:val="00F02A8A"/>
    <w:rsid w:val="00F0575E"/>
    <w:rsid w:val="00F058AF"/>
    <w:rsid w:val="00F106B5"/>
    <w:rsid w:val="00F165EE"/>
    <w:rsid w:val="00F1687F"/>
    <w:rsid w:val="00F302CB"/>
    <w:rsid w:val="00F31331"/>
    <w:rsid w:val="00F35147"/>
    <w:rsid w:val="00F35455"/>
    <w:rsid w:val="00F3641D"/>
    <w:rsid w:val="00F41749"/>
    <w:rsid w:val="00F41DC3"/>
    <w:rsid w:val="00F4406D"/>
    <w:rsid w:val="00F4612D"/>
    <w:rsid w:val="00F46B74"/>
    <w:rsid w:val="00F47AAA"/>
    <w:rsid w:val="00F47D4D"/>
    <w:rsid w:val="00F47E20"/>
    <w:rsid w:val="00F53FD4"/>
    <w:rsid w:val="00F56EAE"/>
    <w:rsid w:val="00F577C7"/>
    <w:rsid w:val="00F6055B"/>
    <w:rsid w:val="00F61E75"/>
    <w:rsid w:val="00F71C0F"/>
    <w:rsid w:val="00F7728F"/>
    <w:rsid w:val="00F81C7E"/>
    <w:rsid w:val="00F82AD5"/>
    <w:rsid w:val="00F8433F"/>
    <w:rsid w:val="00F9045D"/>
    <w:rsid w:val="00F91C40"/>
    <w:rsid w:val="00F93303"/>
    <w:rsid w:val="00FA1635"/>
    <w:rsid w:val="00FB0A29"/>
    <w:rsid w:val="00FB55A2"/>
    <w:rsid w:val="00FB6B37"/>
    <w:rsid w:val="00FC05E2"/>
    <w:rsid w:val="00FC1500"/>
    <w:rsid w:val="00FC63BC"/>
    <w:rsid w:val="00FD26DE"/>
    <w:rsid w:val="00FD48F8"/>
    <w:rsid w:val="00FD7092"/>
    <w:rsid w:val="00FF0B33"/>
    <w:rsid w:val="00FF0E3A"/>
    <w:rsid w:val="00FF6451"/>
    <w:rsid w:val="00FF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BECE"/>
  <w15:chartTrackingRefBased/>
  <w15:docId w15:val="{496963D3-AD66-4688-AAB4-614276B5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09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15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F31"/>
    <w:pPr>
      <w:ind w:left="720"/>
      <w:contextualSpacing/>
    </w:pPr>
  </w:style>
  <w:style w:type="paragraph" w:styleId="FootnoteText">
    <w:name w:val="footnote text"/>
    <w:basedOn w:val="Normal"/>
    <w:link w:val="FootnoteTextChar"/>
    <w:uiPriority w:val="99"/>
    <w:unhideWhenUsed/>
    <w:rsid w:val="00086BF0"/>
    <w:pPr>
      <w:spacing w:after="0" w:line="240" w:lineRule="auto"/>
    </w:pPr>
    <w:rPr>
      <w:sz w:val="20"/>
      <w:szCs w:val="20"/>
    </w:rPr>
  </w:style>
  <w:style w:type="character" w:customStyle="1" w:styleId="FootnoteTextChar">
    <w:name w:val="Footnote Text Char"/>
    <w:basedOn w:val="DefaultParagraphFont"/>
    <w:link w:val="FootnoteText"/>
    <w:uiPriority w:val="99"/>
    <w:rsid w:val="00086BF0"/>
    <w:rPr>
      <w:sz w:val="20"/>
      <w:szCs w:val="20"/>
    </w:rPr>
  </w:style>
  <w:style w:type="character" w:styleId="FootnoteReference">
    <w:name w:val="footnote reference"/>
    <w:basedOn w:val="DefaultParagraphFont"/>
    <w:uiPriority w:val="99"/>
    <w:semiHidden/>
    <w:unhideWhenUsed/>
    <w:rsid w:val="00086BF0"/>
    <w:rPr>
      <w:vertAlign w:val="superscript"/>
    </w:rPr>
  </w:style>
  <w:style w:type="character" w:styleId="Hyperlink">
    <w:name w:val="Hyperlink"/>
    <w:basedOn w:val="DefaultParagraphFont"/>
    <w:uiPriority w:val="99"/>
    <w:unhideWhenUsed/>
    <w:rsid w:val="00086BF0"/>
    <w:rPr>
      <w:color w:val="0563C1" w:themeColor="hyperlink"/>
      <w:u w:val="single"/>
    </w:rPr>
  </w:style>
  <w:style w:type="character" w:customStyle="1" w:styleId="Heading1Char">
    <w:name w:val="Heading 1 Char"/>
    <w:basedOn w:val="DefaultParagraphFont"/>
    <w:link w:val="Heading1"/>
    <w:uiPriority w:val="9"/>
    <w:rsid w:val="00C509B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1520"/>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2F2729"/>
    <w:pPr>
      <w:spacing w:after="0" w:line="240" w:lineRule="auto"/>
    </w:pPr>
  </w:style>
  <w:style w:type="character" w:styleId="CommentReference">
    <w:name w:val="annotation reference"/>
    <w:basedOn w:val="DefaultParagraphFont"/>
    <w:uiPriority w:val="99"/>
    <w:semiHidden/>
    <w:unhideWhenUsed/>
    <w:rsid w:val="00283A04"/>
    <w:rPr>
      <w:sz w:val="16"/>
      <w:szCs w:val="16"/>
    </w:rPr>
  </w:style>
  <w:style w:type="paragraph" w:styleId="CommentText">
    <w:name w:val="annotation text"/>
    <w:basedOn w:val="Normal"/>
    <w:link w:val="CommentTextChar"/>
    <w:uiPriority w:val="99"/>
    <w:unhideWhenUsed/>
    <w:rsid w:val="00283A04"/>
    <w:pPr>
      <w:spacing w:line="240" w:lineRule="auto"/>
    </w:pPr>
    <w:rPr>
      <w:sz w:val="20"/>
      <w:szCs w:val="20"/>
    </w:rPr>
  </w:style>
  <w:style w:type="character" w:customStyle="1" w:styleId="CommentTextChar">
    <w:name w:val="Comment Text Char"/>
    <w:basedOn w:val="DefaultParagraphFont"/>
    <w:link w:val="CommentText"/>
    <w:uiPriority w:val="99"/>
    <w:rsid w:val="00283A04"/>
    <w:rPr>
      <w:sz w:val="20"/>
      <w:szCs w:val="20"/>
    </w:rPr>
  </w:style>
  <w:style w:type="paragraph" w:styleId="CommentSubject">
    <w:name w:val="annotation subject"/>
    <w:basedOn w:val="CommentText"/>
    <w:next w:val="CommentText"/>
    <w:link w:val="CommentSubjectChar"/>
    <w:uiPriority w:val="99"/>
    <w:semiHidden/>
    <w:unhideWhenUsed/>
    <w:rsid w:val="00283A04"/>
    <w:rPr>
      <w:b/>
      <w:bCs/>
    </w:rPr>
  </w:style>
  <w:style w:type="character" w:customStyle="1" w:styleId="CommentSubjectChar">
    <w:name w:val="Comment Subject Char"/>
    <w:basedOn w:val="CommentTextChar"/>
    <w:link w:val="CommentSubject"/>
    <w:uiPriority w:val="99"/>
    <w:semiHidden/>
    <w:rsid w:val="00283A04"/>
    <w:rPr>
      <w:b/>
      <w:bCs/>
      <w:sz w:val="20"/>
      <w:szCs w:val="20"/>
    </w:rPr>
  </w:style>
  <w:style w:type="character" w:styleId="UnresolvedMention">
    <w:name w:val="Unresolved Mention"/>
    <w:basedOn w:val="DefaultParagraphFont"/>
    <w:uiPriority w:val="99"/>
    <w:semiHidden/>
    <w:unhideWhenUsed/>
    <w:rsid w:val="00B249E0"/>
    <w:rPr>
      <w:color w:val="605E5C"/>
      <w:shd w:val="clear" w:color="auto" w:fill="E1DFDD"/>
    </w:rPr>
  </w:style>
  <w:style w:type="table" w:customStyle="1" w:styleId="TableGrid">
    <w:name w:val="TableGrid"/>
    <w:rsid w:val="00E87DD6"/>
    <w:pPr>
      <w:spacing w:after="0" w:line="240" w:lineRule="auto"/>
    </w:pPr>
    <w:rPr>
      <w:rFonts w:eastAsiaTheme="minorEastAsia"/>
    </w:rPr>
    <w:tblPr>
      <w:tblCellMar>
        <w:top w:w="0" w:type="dxa"/>
        <w:left w:w="0" w:type="dxa"/>
        <w:bottom w:w="0" w:type="dxa"/>
        <w:right w:w="0" w:type="dxa"/>
      </w:tblCellMar>
    </w:tblPr>
  </w:style>
  <w:style w:type="paragraph" w:styleId="Title">
    <w:name w:val="Title"/>
    <w:basedOn w:val="Normal"/>
    <w:next w:val="Normal"/>
    <w:link w:val="TitleChar"/>
    <w:uiPriority w:val="10"/>
    <w:qFormat/>
    <w:rsid w:val="00E87D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7DD6"/>
    <w:rPr>
      <w:rFonts w:asciiTheme="majorHAnsi" w:eastAsiaTheme="majorEastAsia" w:hAnsiTheme="majorHAnsi" w:cstheme="majorBidi"/>
      <w:spacing w:val="-10"/>
      <w:kern w:val="28"/>
      <w:sz w:val="56"/>
      <w:szCs w:val="56"/>
    </w:rPr>
  </w:style>
  <w:style w:type="paragraph" w:customStyle="1" w:styleId="Default">
    <w:name w:val="Default"/>
    <w:rsid w:val="00192A2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32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chp/chps-role-decarboniz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chp/chps-role-decarboniz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chp/chps-role-decarboniz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dropbox.com/s/pkxkk6e9mgwoj57/NYISO_GIT_DEFR_CHP_Final.pdf?dl=0" TargetMode="External"/><Relationship Id="rId2" Type="http://schemas.openxmlformats.org/officeDocument/2006/relationships/hyperlink" Target="https://ny.curbed.com/2019/8/12/20802116/nycha-heat-outages-hot-water-winter-legal-aid-society" TargetMode="External"/><Relationship Id="rId1" Type="http://schemas.openxmlformats.org/officeDocument/2006/relationships/hyperlink" Target="https://climate.ny.gov/Our-Climate-Act/Climate-Justice-Working-Group" TargetMode="External"/><Relationship Id="rId4" Type="http://schemas.openxmlformats.org/officeDocument/2006/relationships/hyperlink" Target="https://www.epa.gov/chp/chps-role-decarbon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2160D58AF7E74BBCAF5FFAB641F13B" ma:contentTypeVersion="14" ma:contentTypeDescription="Create a new document." ma:contentTypeScope="" ma:versionID="7e0df647a78e5340f601f83e7a3a94fd">
  <xsd:schema xmlns:xsd="http://www.w3.org/2001/XMLSchema" xmlns:xs="http://www.w3.org/2001/XMLSchema" xmlns:p="http://schemas.microsoft.com/office/2006/metadata/properties" xmlns:ns2="7638958a-720a-44b8-a961-517c84651649" xmlns:ns3="59a4b42a-5e7f-4068-bddf-9fb3f00332a5" targetNamespace="http://schemas.microsoft.com/office/2006/metadata/properties" ma:root="true" ma:fieldsID="3e9c807ae07071bbcb0239f6c2c933e2" ns2:_="" ns3:_="">
    <xsd:import namespace="7638958a-720a-44b8-a961-517c84651649"/>
    <xsd:import namespace="59a4b42a-5e7f-4068-bddf-9fb3f00332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8958a-720a-44b8-a961-517c84651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2355bc-baae-4d98-97a4-764653fcd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a4b42a-5e7f-4068-bddf-9fb3f00332a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02062e0-3fa6-4797-aa67-9506ec8b5947}" ma:internalName="TaxCatchAll" ma:showField="CatchAllData" ma:web="59a4b42a-5e7f-4068-bddf-9fb3f00332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38958a-720a-44b8-a961-517c84651649">
      <Terms xmlns="http://schemas.microsoft.com/office/infopath/2007/PartnerControls"/>
    </lcf76f155ced4ddcb4097134ff3c332f>
    <TaxCatchAll xmlns="59a4b42a-5e7f-4068-bddf-9fb3f0033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0CD10A-2D7F-4071-B787-D7676DF5F07A}">
  <ds:schemaRefs>
    <ds:schemaRef ds:uri="http://schemas.openxmlformats.org/officeDocument/2006/bibliography"/>
  </ds:schemaRefs>
</ds:datastoreItem>
</file>

<file path=customXml/itemProps2.xml><?xml version="1.0" encoding="utf-8"?>
<ds:datastoreItem xmlns:ds="http://schemas.openxmlformats.org/officeDocument/2006/customXml" ds:itemID="{FF913FFA-A362-4F23-9541-CCE70F089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8958a-720a-44b8-a961-517c84651649"/>
    <ds:schemaRef ds:uri="59a4b42a-5e7f-4068-bddf-9fb3f0033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B074D1-A778-48CC-9B6E-759D2DF6DD78}">
  <ds:schemaRefs>
    <ds:schemaRef ds:uri="http://schemas.microsoft.com/office/2006/metadata/properties"/>
    <ds:schemaRef ds:uri="http://schemas.microsoft.com/office/infopath/2007/PartnerControls"/>
    <ds:schemaRef ds:uri="7638958a-720a-44b8-a961-517c84651649"/>
    <ds:schemaRef ds:uri="59a4b42a-5e7f-4068-bddf-9fb3f00332a5"/>
  </ds:schemaRefs>
</ds:datastoreItem>
</file>

<file path=customXml/itemProps4.xml><?xml version="1.0" encoding="utf-8"?>
<ds:datastoreItem xmlns:ds="http://schemas.openxmlformats.org/officeDocument/2006/customXml" ds:itemID="{9AB4CB4C-8C18-4757-9471-B33876D02F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2484</Words>
  <Characters>14164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Bourgeois, Mr. Thomas G.</cp:lastModifiedBy>
  <cp:revision>2</cp:revision>
  <cp:lastPrinted>2022-06-09T14:44:00Z</cp:lastPrinted>
  <dcterms:created xsi:type="dcterms:W3CDTF">2022-06-30T19:59:00Z</dcterms:created>
  <dcterms:modified xsi:type="dcterms:W3CDTF">2022-06-30T19:59:00Z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0x0101001A2160D58AF7E74BBCAF5FFAB641F13B</vt:lpwstr>
  </property>
  <property fmtid="{D5CDD505-2E9C-101B-9397-08002B2CF9AE}" pid="3" name="MediaServiceImageTags">
    <vt:lpwstr/>
  </property>
</Properties>
</file>